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EE8" w:rsidRDefault="00DD0EE8" w:rsidP="00167B93">
      <w:pPr>
        <w:pStyle w:val="Cuerpo"/>
        <w:spacing w:line="276" w:lineRule="auto"/>
        <w:jc w:val="both"/>
        <w:rPr>
          <w:rFonts w:ascii="Arial" w:eastAsia="Verdana" w:hAnsi="Arial" w:cs="Arial"/>
          <w:color w:val="auto"/>
          <w:sz w:val="20"/>
          <w:szCs w:val="20"/>
        </w:rPr>
      </w:pPr>
    </w:p>
    <w:p w:rsidR="007934EB" w:rsidRDefault="007934EB" w:rsidP="00167B93">
      <w:pPr>
        <w:pStyle w:val="Cuerpo"/>
        <w:spacing w:line="276" w:lineRule="auto"/>
        <w:jc w:val="both"/>
        <w:rPr>
          <w:rFonts w:ascii="Arial" w:eastAsia="Verdana" w:hAnsi="Arial" w:cs="Arial"/>
          <w:color w:val="auto"/>
          <w:sz w:val="20"/>
          <w:szCs w:val="20"/>
        </w:rPr>
      </w:pPr>
    </w:p>
    <w:p w:rsidR="007934EB" w:rsidRDefault="007934EB" w:rsidP="00167B93">
      <w:pPr>
        <w:pStyle w:val="Cuerpo"/>
        <w:spacing w:line="276" w:lineRule="auto"/>
        <w:jc w:val="both"/>
        <w:rPr>
          <w:rFonts w:ascii="Arial" w:eastAsia="Verdana" w:hAnsi="Arial" w:cs="Arial"/>
          <w:color w:val="auto"/>
          <w:sz w:val="20"/>
          <w:szCs w:val="20"/>
        </w:rPr>
      </w:pPr>
    </w:p>
    <w:p w:rsidR="007934EB" w:rsidRDefault="007934EB" w:rsidP="00167B93">
      <w:pPr>
        <w:pStyle w:val="Cuerpo"/>
        <w:spacing w:line="276" w:lineRule="auto"/>
        <w:jc w:val="both"/>
        <w:rPr>
          <w:rFonts w:ascii="Arial" w:eastAsia="Verdana" w:hAnsi="Arial" w:cs="Arial"/>
          <w:color w:val="auto"/>
          <w:sz w:val="20"/>
          <w:szCs w:val="20"/>
        </w:rPr>
      </w:pPr>
    </w:p>
    <w:p w:rsidR="007934EB" w:rsidRDefault="007934EB" w:rsidP="00167B93">
      <w:pPr>
        <w:pStyle w:val="Cuerpo"/>
        <w:spacing w:line="276" w:lineRule="auto"/>
        <w:jc w:val="both"/>
        <w:rPr>
          <w:rFonts w:ascii="Arial" w:eastAsia="Verdana" w:hAnsi="Arial" w:cs="Arial"/>
          <w:color w:val="auto"/>
          <w:sz w:val="20"/>
          <w:szCs w:val="20"/>
        </w:rPr>
      </w:pPr>
    </w:p>
    <w:p w:rsidR="007934EB" w:rsidRPr="00167B93" w:rsidRDefault="007934EB" w:rsidP="00167B93">
      <w:pPr>
        <w:pStyle w:val="Cuerpo"/>
        <w:spacing w:line="276" w:lineRule="auto"/>
        <w:jc w:val="both"/>
        <w:rPr>
          <w:rFonts w:ascii="Arial" w:eastAsia="Verdana" w:hAnsi="Arial" w:cs="Arial"/>
          <w:color w:val="auto"/>
          <w:sz w:val="20"/>
          <w:szCs w:val="20"/>
        </w:rPr>
      </w:pPr>
    </w:p>
    <w:p w:rsidR="00366911" w:rsidRPr="003D2B61" w:rsidRDefault="003D2B61" w:rsidP="003D2B6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autoSpaceDE w:val="0"/>
        <w:autoSpaceDN w:val="0"/>
        <w:adjustRightInd w:val="0"/>
        <w:spacing w:line="276" w:lineRule="auto"/>
        <w:jc w:val="center"/>
        <w:rPr>
          <w:rFonts w:ascii="Arial" w:eastAsia="Times New Roman" w:hAnsi="Arial" w:cs="Arial"/>
          <w:b/>
          <w:bCs/>
          <w:sz w:val="22"/>
          <w:szCs w:val="22"/>
          <w:bdr w:val="none" w:sz="0" w:space="0" w:color="auto"/>
          <w:lang w:val="es-CO"/>
        </w:rPr>
      </w:pPr>
      <w:r w:rsidRPr="003D2B61">
        <w:rPr>
          <w:rFonts w:ascii="Arial" w:eastAsia="MS Mincho" w:hAnsi="Arial" w:cs="Arial"/>
          <w:b/>
          <w:spacing w:val="-3"/>
          <w:sz w:val="22"/>
          <w:szCs w:val="22"/>
          <w:bdr w:val="none" w:sz="0" w:space="0" w:color="auto"/>
          <w:lang w:val="es-ES" w:eastAsia="es-ES"/>
        </w:rPr>
        <w:t xml:space="preserve">TEXTO APROBADO EN LA COMISION PRIMERA DE LA H. CAMARA DE REPRESENTANTES DEL </w:t>
      </w:r>
      <w:r w:rsidR="00366911" w:rsidRPr="003D2B61">
        <w:rPr>
          <w:rFonts w:ascii="Arial" w:eastAsia="MS Mincho" w:hAnsi="Arial" w:cs="Arial"/>
          <w:b/>
          <w:spacing w:val="-3"/>
          <w:sz w:val="22"/>
          <w:szCs w:val="22"/>
          <w:bdr w:val="none" w:sz="0" w:space="0" w:color="auto"/>
          <w:lang w:val="es-ES" w:eastAsia="es-ES"/>
        </w:rPr>
        <w:t>PROYECTO DE LEY ESTATUTARIA No 109 DE 2014 CÁMARA</w:t>
      </w:r>
      <w:r w:rsidRPr="003D2B61">
        <w:rPr>
          <w:rFonts w:ascii="Arial" w:eastAsia="MS Mincho" w:hAnsi="Arial" w:cs="Arial"/>
          <w:b/>
          <w:spacing w:val="-3"/>
          <w:sz w:val="22"/>
          <w:szCs w:val="22"/>
          <w:bdr w:val="none" w:sz="0" w:space="0" w:color="auto"/>
          <w:lang w:val="es-ES" w:eastAsia="es-ES"/>
        </w:rPr>
        <w:t xml:space="preserve"> </w:t>
      </w:r>
      <w:r w:rsidR="00366911" w:rsidRPr="003D2B61">
        <w:rPr>
          <w:rFonts w:ascii="Arial" w:eastAsia="MS Mincho" w:hAnsi="Arial" w:cs="Arial"/>
          <w:b/>
          <w:spacing w:val="-3"/>
          <w:sz w:val="22"/>
          <w:szCs w:val="22"/>
          <w:bdr w:val="none" w:sz="0" w:space="0" w:color="auto"/>
          <w:lang w:val="es-ES" w:eastAsia="es-ES"/>
        </w:rPr>
        <w:t>“P</w:t>
      </w:r>
      <w:r w:rsidRPr="003D2B61">
        <w:rPr>
          <w:rFonts w:ascii="Arial" w:eastAsia="MS Mincho" w:hAnsi="Arial" w:cs="Arial"/>
          <w:b/>
          <w:spacing w:val="-3"/>
          <w:sz w:val="22"/>
          <w:szCs w:val="22"/>
          <w:bdr w:val="none" w:sz="0" w:space="0" w:color="auto"/>
          <w:lang w:val="es-ES" w:eastAsia="es-ES"/>
        </w:rPr>
        <w:t>OR MEDIO DE LA CUAL SE REFORMA LA ESTRUCTURA Y EL FUNCIONAMIENTO DE LA SALA DE CASACION PENAL DE LA CORTE SUPREMA DE JUSITICIA</w:t>
      </w:r>
      <w:r w:rsidR="00366911" w:rsidRPr="003D2B61">
        <w:rPr>
          <w:rFonts w:ascii="Arial" w:eastAsia="MS Mincho" w:hAnsi="Arial" w:cs="Arial"/>
          <w:b/>
          <w:spacing w:val="-3"/>
          <w:sz w:val="22"/>
          <w:szCs w:val="22"/>
          <w:bdr w:val="none" w:sz="0" w:space="0" w:color="auto"/>
          <w:lang w:val="es-ES" w:eastAsia="es-ES"/>
        </w:rPr>
        <w:t>”</w:t>
      </w:r>
    </w:p>
    <w:p w:rsidR="00CC16A8" w:rsidRDefault="00CC16A8" w:rsidP="00CC16A8">
      <w:pPr>
        <w:spacing w:line="276" w:lineRule="auto"/>
        <w:jc w:val="center"/>
        <w:rPr>
          <w:rFonts w:ascii="Arial" w:hAnsi="Arial" w:cs="Arial"/>
          <w:color w:val="000000" w:themeColor="text1"/>
          <w:lang w:val="es-ES_tradnl"/>
        </w:rPr>
      </w:pPr>
    </w:p>
    <w:p w:rsidR="00E556D9" w:rsidRPr="003D2B61" w:rsidRDefault="00E556D9" w:rsidP="00CC16A8">
      <w:pPr>
        <w:spacing w:line="276" w:lineRule="auto"/>
        <w:jc w:val="center"/>
        <w:rPr>
          <w:rFonts w:ascii="Arial" w:hAnsi="Arial" w:cs="Arial"/>
          <w:color w:val="000000" w:themeColor="text1"/>
          <w:lang w:val="es-ES_tradnl"/>
        </w:rPr>
      </w:pPr>
    </w:p>
    <w:p w:rsidR="00CC16A8" w:rsidRPr="003D2B61" w:rsidRDefault="00CC16A8" w:rsidP="00CC16A8">
      <w:pPr>
        <w:spacing w:line="276" w:lineRule="auto"/>
        <w:jc w:val="center"/>
        <w:rPr>
          <w:rFonts w:ascii="Arial" w:hAnsi="Arial" w:cs="Arial"/>
          <w:color w:val="000000" w:themeColor="text1"/>
          <w:lang w:val="es-CO"/>
        </w:rPr>
      </w:pPr>
      <w:r w:rsidRPr="003D2B61">
        <w:rPr>
          <w:rFonts w:ascii="Arial" w:hAnsi="Arial" w:cs="Arial"/>
          <w:color w:val="000000" w:themeColor="text1"/>
          <w:lang w:val="es-CO"/>
        </w:rPr>
        <w:t>EL CONGRESO DE COLOMBIA</w:t>
      </w:r>
    </w:p>
    <w:p w:rsidR="00CC16A8" w:rsidRPr="003D2B61" w:rsidRDefault="00CC16A8" w:rsidP="00CC16A8">
      <w:pPr>
        <w:spacing w:line="276" w:lineRule="auto"/>
        <w:jc w:val="center"/>
        <w:rPr>
          <w:rFonts w:ascii="Arial" w:hAnsi="Arial" w:cs="Arial"/>
          <w:color w:val="000000" w:themeColor="text1"/>
          <w:lang w:val="es-CO"/>
        </w:rPr>
      </w:pPr>
    </w:p>
    <w:p w:rsidR="00CC16A8" w:rsidRPr="003D2B61" w:rsidRDefault="00CC16A8" w:rsidP="00CC16A8">
      <w:pPr>
        <w:spacing w:line="276" w:lineRule="auto"/>
        <w:jc w:val="center"/>
        <w:rPr>
          <w:rFonts w:ascii="Arial" w:hAnsi="Arial" w:cs="Arial"/>
          <w:color w:val="000000" w:themeColor="text1"/>
          <w:lang w:val="es-CO"/>
        </w:rPr>
      </w:pPr>
      <w:r w:rsidRPr="003D2B61">
        <w:rPr>
          <w:rFonts w:ascii="Arial" w:hAnsi="Arial" w:cs="Arial"/>
          <w:color w:val="000000" w:themeColor="text1"/>
          <w:lang w:val="es-CO"/>
        </w:rPr>
        <w:t>DECRETA:</w:t>
      </w:r>
    </w:p>
    <w:p w:rsidR="00CC16A8" w:rsidRDefault="00CC16A8" w:rsidP="00CC16A8">
      <w:pPr>
        <w:spacing w:line="276" w:lineRule="auto"/>
        <w:jc w:val="center"/>
        <w:rPr>
          <w:rFonts w:ascii="Arial" w:hAnsi="Arial" w:cs="Arial"/>
          <w:color w:val="000000" w:themeColor="text1"/>
          <w:lang w:val="es-CO"/>
        </w:rPr>
      </w:pPr>
    </w:p>
    <w:p w:rsidR="00E556D9" w:rsidRPr="003D2B61" w:rsidRDefault="00E556D9" w:rsidP="00CC16A8">
      <w:pPr>
        <w:spacing w:line="276" w:lineRule="auto"/>
        <w:jc w:val="center"/>
        <w:rPr>
          <w:rFonts w:ascii="Arial" w:hAnsi="Arial" w:cs="Arial"/>
          <w:color w:val="000000" w:themeColor="text1"/>
          <w:lang w:val="es-CO"/>
        </w:rPr>
      </w:pPr>
    </w:p>
    <w:p w:rsidR="00CC16A8" w:rsidRPr="003D2B61" w:rsidRDefault="00CC16A8" w:rsidP="00CC16A8">
      <w:pPr>
        <w:spacing w:line="276" w:lineRule="auto"/>
        <w:jc w:val="both"/>
        <w:rPr>
          <w:rFonts w:ascii="Arial" w:hAnsi="Arial" w:cs="Arial"/>
          <w:color w:val="000000" w:themeColor="text1"/>
          <w:lang w:val="es-CO"/>
        </w:rPr>
      </w:pPr>
      <w:r w:rsidRPr="003D2B61">
        <w:rPr>
          <w:rFonts w:ascii="Arial" w:hAnsi="Arial" w:cs="Arial"/>
          <w:b/>
          <w:bCs/>
          <w:color w:val="000000" w:themeColor="text1"/>
          <w:lang w:val="es-ES"/>
        </w:rPr>
        <w:t xml:space="preserve">ARTÍCULO </w:t>
      </w:r>
      <w:r w:rsidRPr="003D2B61">
        <w:rPr>
          <w:rFonts w:ascii="Arial" w:hAnsi="Arial" w:cs="Arial"/>
          <w:b/>
          <w:color w:val="000000" w:themeColor="text1"/>
          <w:lang w:val="es-CO"/>
        </w:rPr>
        <w:t>1º.</w:t>
      </w:r>
      <w:r w:rsidRPr="003D2B61">
        <w:rPr>
          <w:rFonts w:ascii="Arial" w:hAnsi="Arial" w:cs="Arial"/>
          <w:color w:val="000000" w:themeColor="text1"/>
          <w:lang w:val="es-CO"/>
        </w:rPr>
        <w:t xml:space="preserve"> Modifíquese el artículo 15 de la Ley 270 de 1996, el cual quedará así:</w:t>
      </w:r>
    </w:p>
    <w:p w:rsidR="006D77E3" w:rsidRPr="003D2B61" w:rsidRDefault="006D77E3" w:rsidP="00CC16A8">
      <w:pPr>
        <w:spacing w:line="276" w:lineRule="auto"/>
        <w:jc w:val="both"/>
        <w:rPr>
          <w:rFonts w:ascii="Arial" w:hAnsi="Arial" w:cs="Arial"/>
          <w:color w:val="000000" w:themeColor="text1"/>
          <w:lang w:val="es-CO"/>
        </w:rPr>
      </w:pPr>
    </w:p>
    <w:p w:rsidR="00CC16A8" w:rsidRPr="003D2B61" w:rsidRDefault="00CC16A8" w:rsidP="008E5A26">
      <w:pPr>
        <w:jc w:val="both"/>
        <w:rPr>
          <w:rFonts w:ascii="Arial" w:hAnsi="Arial" w:cs="Arial"/>
          <w:color w:val="000000" w:themeColor="text1"/>
          <w:lang w:val="es-ES"/>
        </w:rPr>
      </w:pPr>
      <w:bookmarkStart w:id="0" w:name="15"/>
      <w:r w:rsidRPr="003D2B61">
        <w:rPr>
          <w:rFonts w:ascii="Arial" w:hAnsi="Arial" w:cs="Arial"/>
          <w:b/>
          <w:color w:val="000000" w:themeColor="text1"/>
          <w:lang w:val="es-CO"/>
        </w:rPr>
        <w:t>Artículo</w:t>
      </w:r>
      <w:r w:rsidRPr="003D2B61">
        <w:rPr>
          <w:rFonts w:ascii="Arial" w:hAnsi="Arial" w:cs="Arial"/>
          <w:b/>
          <w:bCs/>
          <w:color w:val="000000" w:themeColor="text1"/>
          <w:lang w:val="es-ES"/>
        </w:rPr>
        <w:t xml:space="preserve"> 15. Integración. </w:t>
      </w:r>
      <w:bookmarkEnd w:id="0"/>
      <w:r w:rsidRPr="003D2B61">
        <w:rPr>
          <w:rFonts w:ascii="Arial" w:hAnsi="Arial" w:cs="Arial"/>
          <w:color w:val="000000" w:themeColor="text1"/>
          <w:lang w:val="es-ES"/>
        </w:rPr>
        <w:t xml:space="preserve">La Corte Suprema de Justicia es el máximo Tribunal de la Jurisdicción Ordinaria y está integrada por veintinueve (29) Magistrados, elegidos por la misma Corporación para períodos individuales de ocho (8) años, de listas superiores a cinco (5) candidatos que reúnan los requisitos constitucionales, por cada vacante que se presente, enviadas por la Sala Administrativa del Consejo Superior de la Judicatura. </w:t>
      </w:r>
    </w:p>
    <w:p w:rsidR="00CC16A8" w:rsidRPr="003D2B61" w:rsidRDefault="00CC16A8" w:rsidP="008E5A26">
      <w:pPr>
        <w:jc w:val="both"/>
        <w:rPr>
          <w:rFonts w:ascii="Arial" w:hAnsi="Arial" w:cs="Arial"/>
          <w:color w:val="000000" w:themeColor="text1"/>
          <w:lang w:val="es-ES"/>
        </w:rPr>
      </w:pPr>
    </w:p>
    <w:p w:rsidR="00CC16A8" w:rsidRPr="003D2B61" w:rsidRDefault="00CC16A8" w:rsidP="008E5A26">
      <w:pPr>
        <w:jc w:val="both"/>
        <w:rPr>
          <w:rFonts w:ascii="Arial" w:hAnsi="Arial" w:cs="Arial"/>
          <w:color w:val="000000" w:themeColor="text1"/>
          <w:lang w:val="es-ES"/>
        </w:rPr>
      </w:pPr>
      <w:r w:rsidRPr="003D2B61">
        <w:rPr>
          <w:rFonts w:ascii="Arial" w:hAnsi="Arial" w:cs="Arial"/>
          <w:color w:val="000000" w:themeColor="text1"/>
          <w:lang w:val="es-ES"/>
        </w:rPr>
        <w:t xml:space="preserve">El Presidente elegido por la Corporación será su representante y tendrá las funciones que le señale la ley y el reglamento. </w:t>
      </w:r>
    </w:p>
    <w:p w:rsidR="00CC16A8" w:rsidRPr="003D2B61" w:rsidRDefault="00CC16A8" w:rsidP="008E5A26">
      <w:pPr>
        <w:jc w:val="both"/>
        <w:rPr>
          <w:rFonts w:ascii="Arial" w:hAnsi="Arial" w:cs="Arial"/>
          <w:b/>
          <w:bCs/>
          <w:color w:val="000000" w:themeColor="text1"/>
          <w:lang w:val="es-ES"/>
        </w:rPr>
      </w:pPr>
    </w:p>
    <w:p w:rsidR="00CC16A8" w:rsidRPr="003D2B61" w:rsidRDefault="00CC16A8" w:rsidP="008E5A26">
      <w:pPr>
        <w:jc w:val="both"/>
        <w:rPr>
          <w:rFonts w:ascii="Arial" w:hAnsi="Arial" w:cs="Arial"/>
          <w:color w:val="000000" w:themeColor="text1"/>
          <w:lang w:val="es-ES"/>
        </w:rPr>
      </w:pPr>
      <w:r w:rsidRPr="003D2B61">
        <w:rPr>
          <w:rFonts w:ascii="Arial" w:hAnsi="Arial" w:cs="Arial"/>
          <w:b/>
          <w:bCs/>
          <w:color w:val="000000" w:themeColor="text1"/>
          <w:lang w:val="es-ES"/>
        </w:rPr>
        <w:t xml:space="preserve">Parágrafo. </w:t>
      </w:r>
      <w:r w:rsidRPr="003D2B61">
        <w:rPr>
          <w:rFonts w:ascii="Arial" w:hAnsi="Arial" w:cs="Arial"/>
          <w:color w:val="000000" w:themeColor="text1"/>
          <w:lang w:val="es-ES"/>
        </w:rPr>
        <w:t xml:space="preserve">El período individual de los Magistrados de la Corte Suprema de Justicia, elegidos con anterioridad al 7 de julio de 1991, comenzará a contarse a partir de esta última fecha. </w:t>
      </w:r>
    </w:p>
    <w:p w:rsidR="00CC16A8" w:rsidRPr="003D2B61" w:rsidRDefault="00CC16A8" w:rsidP="008E5A26">
      <w:pPr>
        <w:jc w:val="both"/>
        <w:rPr>
          <w:rFonts w:ascii="Arial" w:hAnsi="Arial" w:cs="Arial"/>
          <w:color w:val="000000" w:themeColor="text1"/>
          <w:lang w:val="es-ES"/>
        </w:rPr>
      </w:pPr>
    </w:p>
    <w:p w:rsidR="00CC16A8" w:rsidRPr="003D2B61" w:rsidRDefault="00CC16A8" w:rsidP="008E5A26">
      <w:pPr>
        <w:jc w:val="both"/>
        <w:rPr>
          <w:rFonts w:ascii="Arial" w:hAnsi="Arial" w:cs="Arial"/>
          <w:color w:val="000000" w:themeColor="text1"/>
          <w:lang w:val="es-CO"/>
        </w:rPr>
      </w:pPr>
      <w:r w:rsidRPr="003D2B61">
        <w:rPr>
          <w:rFonts w:ascii="Arial" w:hAnsi="Arial" w:cs="Arial"/>
          <w:b/>
          <w:bCs/>
          <w:color w:val="000000" w:themeColor="text1"/>
          <w:lang w:val="es-ES"/>
        </w:rPr>
        <w:t xml:space="preserve">ARTÍCULO </w:t>
      </w:r>
      <w:r w:rsidRPr="003D2B61">
        <w:rPr>
          <w:rFonts w:ascii="Arial" w:hAnsi="Arial" w:cs="Arial"/>
          <w:b/>
          <w:color w:val="000000" w:themeColor="text1"/>
          <w:lang w:val="es-CO"/>
        </w:rPr>
        <w:t>2º.</w:t>
      </w:r>
      <w:r w:rsidRPr="003D2B61">
        <w:rPr>
          <w:rFonts w:ascii="Arial" w:hAnsi="Arial" w:cs="Arial"/>
          <w:color w:val="000000" w:themeColor="text1"/>
          <w:lang w:val="es-CO"/>
        </w:rPr>
        <w:t xml:space="preserve"> Modifíquese el artículo 16 de la Ley 270 de 1996, el cual quedará así:</w:t>
      </w:r>
    </w:p>
    <w:p w:rsidR="006D77E3" w:rsidRPr="003D2B61" w:rsidRDefault="006D77E3" w:rsidP="008E5A26">
      <w:pPr>
        <w:jc w:val="both"/>
        <w:rPr>
          <w:rFonts w:ascii="Arial" w:hAnsi="Arial" w:cs="Arial"/>
          <w:color w:val="000000" w:themeColor="text1"/>
          <w:lang w:val="es-CO"/>
        </w:rPr>
      </w:pPr>
    </w:p>
    <w:p w:rsidR="008E5A26" w:rsidRDefault="00CC16A8" w:rsidP="008E5A26">
      <w:pPr>
        <w:jc w:val="both"/>
        <w:rPr>
          <w:rFonts w:ascii="Arial" w:hAnsi="Arial" w:cs="Arial"/>
          <w:color w:val="000000" w:themeColor="text1"/>
          <w:lang w:val="es-CO"/>
        </w:rPr>
      </w:pPr>
      <w:bookmarkStart w:id="1" w:name="16"/>
      <w:bookmarkEnd w:id="1"/>
      <w:r w:rsidRPr="003D2B61">
        <w:rPr>
          <w:rFonts w:ascii="Arial" w:hAnsi="Arial" w:cs="Arial"/>
          <w:b/>
          <w:color w:val="000000" w:themeColor="text1"/>
          <w:lang w:val="es-CO"/>
        </w:rPr>
        <w:t>Artículo 16. Salas.</w:t>
      </w:r>
      <w:r w:rsidRPr="003D2B61">
        <w:rPr>
          <w:rFonts w:ascii="Arial" w:hAnsi="Arial" w:cs="Arial"/>
          <w:color w:val="000000" w:themeColor="text1"/>
          <w:lang w:val="es-CO"/>
        </w:rPr>
        <w:t xml:space="preserve"> La Corte Suprema de Justicia cumplirá sus funciones por medio de cinco (5) Salas, conformadas  así:</w:t>
      </w:r>
    </w:p>
    <w:p w:rsidR="00CC16A8" w:rsidRPr="003D2B61" w:rsidRDefault="00CC16A8" w:rsidP="008E5A26">
      <w:pPr>
        <w:jc w:val="both"/>
        <w:rPr>
          <w:rFonts w:ascii="Arial" w:hAnsi="Arial" w:cs="Arial"/>
          <w:color w:val="000000" w:themeColor="text1"/>
          <w:lang w:val="es-CO"/>
        </w:rPr>
      </w:pPr>
      <w:r w:rsidRPr="003D2B61">
        <w:rPr>
          <w:rFonts w:ascii="Arial" w:hAnsi="Arial" w:cs="Arial"/>
          <w:color w:val="000000" w:themeColor="text1"/>
          <w:lang w:val="es-CO"/>
        </w:rPr>
        <w:t xml:space="preserve"> </w:t>
      </w:r>
    </w:p>
    <w:p w:rsidR="00CC16A8" w:rsidRPr="003D2B61" w:rsidRDefault="00CC16A8" w:rsidP="008E5A26">
      <w:pPr>
        <w:pStyle w:val="Prrafodelist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val="0"/>
        <w:jc w:val="both"/>
        <w:rPr>
          <w:rFonts w:ascii="Arial" w:hAnsi="Arial" w:cs="Arial"/>
          <w:color w:val="000000" w:themeColor="text1"/>
          <w:lang w:val="es-CO"/>
        </w:rPr>
      </w:pPr>
      <w:r w:rsidRPr="003D2B61">
        <w:rPr>
          <w:rFonts w:ascii="Arial" w:hAnsi="Arial" w:cs="Arial"/>
          <w:color w:val="000000" w:themeColor="text1"/>
          <w:lang w:val="es-CO"/>
        </w:rPr>
        <w:t xml:space="preserve">La Sala de Casación Civil y Agraria, estará integrada por siete (7) Magistrados; </w:t>
      </w:r>
    </w:p>
    <w:p w:rsidR="008E5A26" w:rsidRDefault="008E5A26" w:rsidP="008E5A26">
      <w:pPr>
        <w:pStyle w:val="Prrafodelista"/>
        <w:pBdr>
          <w:top w:val="none" w:sz="0" w:space="0" w:color="auto"/>
          <w:left w:val="none" w:sz="0" w:space="0" w:color="auto"/>
          <w:bottom w:val="none" w:sz="0" w:space="0" w:color="auto"/>
          <w:right w:val="none" w:sz="0" w:space="0" w:color="auto"/>
          <w:between w:val="none" w:sz="0" w:space="0" w:color="auto"/>
          <w:bar w:val="none" w:sz="0" w:color="auto"/>
        </w:pBdr>
        <w:contextualSpacing w:val="0"/>
        <w:jc w:val="both"/>
        <w:rPr>
          <w:rFonts w:ascii="Arial" w:hAnsi="Arial" w:cs="Arial"/>
          <w:color w:val="000000" w:themeColor="text1"/>
          <w:lang w:val="es-CO"/>
        </w:rPr>
      </w:pPr>
    </w:p>
    <w:p w:rsidR="00CC16A8" w:rsidRPr="003D2B61" w:rsidRDefault="00CC16A8" w:rsidP="008E5A26">
      <w:pPr>
        <w:pStyle w:val="Prrafodelist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val="0"/>
        <w:jc w:val="both"/>
        <w:rPr>
          <w:rFonts w:ascii="Arial" w:hAnsi="Arial" w:cs="Arial"/>
          <w:color w:val="000000" w:themeColor="text1"/>
          <w:lang w:val="es-CO"/>
        </w:rPr>
      </w:pPr>
      <w:r w:rsidRPr="003D2B61">
        <w:rPr>
          <w:rFonts w:ascii="Arial" w:hAnsi="Arial" w:cs="Arial"/>
          <w:color w:val="000000" w:themeColor="text1"/>
          <w:lang w:val="es-CO"/>
        </w:rPr>
        <w:t>La Sala Penal, estará conformada por quince (15) Magistrados que integrarán tres (3) Salas: dos (2) de juzgamiento y una (1) de Casación Penal. Así mismo, existirán dos magistrados de instrucción.</w:t>
      </w:r>
    </w:p>
    <w:p w:rsidR="008E5A26" w:rsidRDefault="008E5A26" w:rsidP="008E5A26">
      <w:pPr>
        <w:pStyle w:val="Prrafodelista"/>
        <w:pBdr>
          <w:top w:val="none" w:sz="0" w:space="0" w:color="auto"/>
          <w:left w:val="none" w:sz="0" w:space="0" w:color="auto"/>
          <w:bottom w:val="none" w:sz="0" w:space="0" w:color="auto"/>
          <w:right w:val="none" w:sz="0" w:space="0" w:color="auto"/>
          <w:between w:val="none" w:sz="0" w:space="0" w:color="auto"/>
          <w:bar w:val="none" w:sz="0" w:color="auto"/>
        </w:pBdr>
        <w:contextualSpacing w:val="0"/>
        <w:jc w:val="both"/>
        <w:rPr>
          <w:rFonts w:ascii="Arial" w:hAnsi="Arial" w:cs="Arial"/>
          <w:color w:val="000000" w:themeColor="text1"/>
          <w:lang w:val="es-CO"/>
        </w:rPr>
      </w:pPr>
    </w:p>
    <w:p w:rsidR="00CC16A8" w:rsidRPr="003D2B61" w:rsidRDefault="00CC16A8" w:rsidP="008E5A26">
      <w:pPr>
        <w:pStyle w:val="Prrafodelist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val="0"/>
        <w:jc w:val="both"/>
        <w:rPr>
          <w:rFonts w:ascii="Arial" w:hAnsi="Arial" w:cs="Arial"/>
          <w:color w:val="000000" w:themeColor="text1"/>
          <w:lang w:val="es-CO"/>
        </w:rPr>
      </w:pPr>
      <w:r w:rsidRPr="003D2B61">
        <w:rPr>
          <w:rFonts w:ascii="Arial" w:hAnsi="Arial" w:cs="Arial"/>
          <w:color w:val="000000" w:themeColor="text1"/>
          <w:lang w:val="es-CO"/>
        </w:rPr>
        <w:t xml:space="preserve">La Sala de Casación Laboral, estará integrada por siete (7) Magistrados; </w:t>
      </w:r>
    </w:p>
    <w:p w:rsidR="008E5A26" w:rsidRDefault="008E5A26" w:rsidP="008E5A26">
      <w:pPr>
        <w:pStyle w:val="Prrafodelista"/>
        <w:pBdr>
          <w:top w:val="none" w:sz="0" w:space="0" w:color="auto"/>
          <w:left w:val="none" w:sz="0" w:space="0" w:color="auto"/>
          <w:bottom w:val="none" w:sz="0" w:space="0" w:color="auto"/>
          <w:right w:val="none" w:sz="0" w:space="0" w:color="auto"/>
          <w:between w:val="none" w:sz="0" w:space="0" w:color="auto"/>
          <w:bar w:val="none" w:sz="0" w:color="auto"/>
        </w:pBdr>
        <w:contextualSpacing w:val="0"/>
        <w:jc w:val="both"/>
        <w:rPr>
          <w:rFonts w:ascii="Arial" w:hAnsi="Arial" w:cs="Arial"/>
          <w:color w:val="000000" w:themeColor="text1"/>
          <w:lang w:val="es-CO"/>
        </w:rPr>
      </w:pPr>
    </w:p>
    <w:p w:rsidR="00CC16A8" w:rsidRPr="003D2B61" w:rsidRDefault="00CC16A8" w:rsidP="008E5A26">
      <w:pPr>
        <w:pStyle w:val="Prrafodelist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val="0"/>
        <w:jc w:val="both"/>
        <w:rPr>
          <w:rFonts w:ascii="Arial" w:hAnsi="Arial" w:cs="Arial"/>
          <w:color w:val="000000" w:themeColor="text1"/>
          <w:lang w:val="es-CO"/>
        </w:rPr>
      </w:pPr>
      <w:r w:rsidRPr="003D2B61">
        <w:rPr>
          <w:rFonts w:ascii="Arial" w:hAnsi="Arial" w:cs="Arial"/>
          <w:color w:val="000000" w:themeColor="text1"/>
          <w:lang w:val="es-CO"/>
        </w:rPr>
        <w:lastRenderedPageBreak/>
        <w:t xml:space="preserve">La Sala Plena la integrarán todos los Magistrados de la Corporación, con excepción de los seis (6) Magistrados que formen parte de las Salas de Juzgamiento de la Sala Penal y los magistrados de instrucción. </w:t>
      </w:r>
    </w:p>
    <w:p w:rsidR="008E5A26" w:rsidRDefault="008E5A26" w:rsidP="008E5A26">
      <w:pPr>
        <w:pStyle w:val="Prrafodelista"/>
        <w:pBdr>
          <w:top w:val="none" w:sz="0" w:space="0" w:color="auto"/>
          <w:left w:val="none" w:sz="0" w:space="0" w:color="auto"/>
          <w:bottom w:val="none" w:sz="0" w:space="0" w:color="auto"/>
          <w:right w:val="none" w:sz="0" w:space="0" w:color="auto"/>
          <w:between w:val="none" w:sz="0" w:space="0" w:color="auto"/>
          <w:bar w:val="none" w:sz="0" w:color="auto"/>
        </w:pBdr>
        <w:contextualSpacing w:val="0"/>
        <w:jc w:val="both"/>
        <w:rPr>
          <w:rFonts w:ascii="Arial" w:hAnsi="Arial" w:cs="Arial"/>
          <w:color w:val="000000" w:themeColor="text1"/>
          <w:lang w:val="es-CO"/>
        </w:rPr>
      </w:pPr>
    </w:p>
    <w:p w:rsidR="00CC16A8" w:rsidRPr="003D2B61" w:rsidRDefault="00CC16A8" w:rsidP="008E5A26">
      <w:pPr>
        <w:pStyle w:val="Prrafodelist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val="0"/>
        <w:jc w:val="both"/>
        <w:rPr>
          <w:rFonts w:ascii="Arial" w:hAnsi="Arial" w:cs="Arial"/>
          <w:color w:val="000000" w:themeColor="text1"/>
          <w:lang w:val="es-CO"/>
        </w:rPr>
      </w:pPr>
      <w:r w:rsidRPr="003D2B61">
        <w:rPr>
          <w:rFonts w:ascii="Arial" w:hAnsi="Arial" w:cs="Arial"/>
          <w:color w:val="000000" w:themeColor="text1"/>
          <w:lang w:val="es-CO"/>
        </w:rPr>
        <w:t xml:space="preserve">La Sala de Gobierno, la conformarán el Presidente, el Vicepresidente y los Presidentes de cada una de las Salas de Casación. </w:t>
      </w:r>
    </w:p>
    <w:p w:rsidR="00CC16A8" w:rsidRPr="003D2B61" w:rsidRDefault="00CC16A8" w:rsidP="008E5A26">
      <w:pPr>
        <w:jc w:val="both"/>
        <w:rPr>
          <w:rFonts w:ascii="Arial" w:hAnsi="Arial" w:cs="Arial"/>
          <w:color w:val="000000" w:themeColor="text1"/>
          <w:lang w:val="es-CO"/>
        </w:rPr>
      </w:pPr>
    </w:p>
    <w:p w:rsidR="00CC16A8" w:rsidRPr="003D2B61" w:rsidRDefault="00CC16A8" w:rsidP="008E5A26">
      <w:pPr>
        <w:jc w:val="both"/>
        <w:rPr>
          <w:rFonts w:ascii="Arial" w:hAnsi="Arial" w:cs="Arial"/>
          <w:color w:val="000000" w:themeColor="text1"/>
          <w:lang w:val="es-CO"/>
        </w:rPr>
      </w:pPr>
      <w:r w:rsidRPr="003D2B61">
        <w:rPr>
          <w:rFonts w:ascii="Arial" w:hAnsi="Arial" w:cs="Arial"/>
          <w:color w:val="000000" w:themeColor="text1"/>
          <w:lang w:val="es-CO"/>
        </w:rPr>
        <w:t xml:space="preserve">Las Salas de Casación Civil y Agraria, de Casación Laboral y de Casación Penal, actuarán según su especialidad y por su carácter de Tribunal de Casación podrán seleccionar las sentencias objeto de su pronunciamiento, para los fines de unificación de la jurisprudencia, protección de los derechos constitucionales, control de legalidad de los fallos y de realización de la justicia material. También conocerán de los conflictos de competencia que, en el ámbito de sus especialidades, se susciten entre las Salas de un mismo Tribunal, o entre Tribunales, o entre estos y juzgados de otro Distrito, o entre juzgados de diferentes Distritos. </w:t>
      </w:r>
    </w:p>
    <w:p w:rsidR="00CC16A8" w:rsidRPr="003D2B61" w:rsidRDefault="00CC16A8" w:rsidP="008E5A26">
      <w:pPr>
        <w:jc w:val="both"/>
        <w:rPr>
          <w:rFonts w:ascii="Arial" w:hAnsi="Arial" w:cs="Arial"/>
          <w:color w:val="000000" w:themeColor="text1"/>
          <w:lang w:val="es-CO"/>
        </w:rPr>
      </w:pPr>
    </w:p>
    <w:p w:rsidR="00CC16A8" w:rsidRPr="003D2B61" w:rsidRDefault="00CC16A8" w:rsidP="008E5A26">
      <w:pPr>
        <w:jc w:val="both"/>
        <w:rPr>
          <w:rFonts w:ascii="Arial" w:hAnsi="Arial" w:cs="Arial"/>
          <w:color w:val="000000" w:themeColor="text1"/>
          <w:lang w:val="es-CO"/>
        </w:rPr>
      </w:pPr>
      <w:r w:rsidRPr="003D2B61">
        <w:rPr>
          <w:rFonts w:ascii="Arial" w:hAnsi="Arial" w:cs="Arial"/>
          <w:b/>
          <w:bCs/>
          <w:color w:val="000000" w:themeColor="text1"/>
          <w:lang w:val="es-ES"/>
        </w:rPr>
        <w:t xml:space="preserve">ARTÍCULO </w:t>
      </w:r>
      <w:r w:rsidRPr="003D2B61">
        <w:rPr>
          <w:rFonts w:ascii="Arial" w:hAnsi="Arial" w:cs="Arial"/>
          <w:b/>
          <w:color w:val="000000" w:themeColor="text1"/>
          <w:lang w:val="es-CO"/>
        </w:rPr>
        <w:t>3°.</w:t>
      </w:r>
      <w:r w:rsidRPr="003D2B61">
        <w:rPr>
          <w:rFonts w:ascii="Arial" w:hAnsi="Arial" w:cs="Arial"/>
          <w:color w:val="000000" w:themeColor="text1"/>
          <w:lang w:val="es-CO"/>
        </w:rPr>
        <w:t xml:space="preserve"> Apruébese como artículo nuevo de la Ley 270 de 1996 el siguiente:</w:t>
      </w:r>
    </w:p>
    <w:p w:rsidR="006D77E3" w:rsidRPr="003D2B61" w:rsidRDefault="006D77E3" w:rsidP="008E5A26">
      <w:pPr>
        <w:jc w:val="both"/>
        <w:rPr>
          <w:rFonts w:ascii="Arial" w:hAnsi="Arial" w:cs="Arial"/>
          <w:color w:val="000000" w:themeColor="text1"/>
          <w:lang w:val="es-CO"/>
        </w:rPr>
      </w:pPr>
    </w:p>
    <w:p w:rsidR="00CC16A8" w:rsidRPr="003D2B61" w:rsidRDefault="00CC16A8" w:rsidP="008E5A26">
      <w:pPr>
        <w:jc w:val="both"/>
        <w:rPr>
          <w:rFonts w:ascii="Arial" w:hAnsi="Arial" w:cs="Arial"/>
          <w:color w:val="000000" w:themeColor="text1"/>
          <w:lang w:val="es-CO"/>
        </w:rPr>
      </w:pPr>
      <w:r w:rsidRPr="003D2B61">
        <w:rPr>
          <w:rFonts w:ascii="Arial" w:hAnsi="Arial" w:cs="Arial"/>
          <w:b/>
          <w:color w:val="000000" w:themeColor="text1"/>
          <w:lang w:val="es-CO"/>
        </w:rPr>
        <w:t>Artículo 16 A</w:t>
      </w:r>
      <w:r w:rsidRPr="003D2B61">
        <w:rPr>
          <w:rFonts w:ascii="Arial" w:hAnsi="Arial" w:cs="Arial"/>
          <w:color w:val="000000" w:themeColor="text1"/>
          <w:lang w:val="es-CO"/>
        </w:rPr>
        <w:t xml:space="preserve">. </w:t>
      </w:r>
      <w:r w:rsidRPr="003D2B61">
        <w:rPr>
          <w:rFonts w:ascii="Arial" w:hAnsi="Arial" w:cs="Arial"/>
          <w:b/>
          <w:color w:val="000000" w:themeColor="text1"/>
          <w:lang w:val="es-CO"/>
        </w:rPr>
        <w:t>Estructura y funcionamiento</w:t>
      </w:r>
      <w:r w:rsidR="00190629">
        <w:rPr>
          <w:rFonts w:ascii="Arial" w:hAnsi="Arial" w:cs="Arial"/>
          <w:b/>
          <w:color w:val="000000" w:themeColor="text1"/>
          <w:lang w:val="es-CO"/>
        </w:rPr>
        <w:t xml:space="preserve"> </w:t>
      </w:r>
      <w:r w:rsidRPr="003D2B61">
        <w:rPr>
          <w:rFonts w:ascii="Arial" w:hAnsi="Arial" w:cs="Arial"/>
          <w:b/>
          <w:color w:val="000000" w:themeColor="text1"/>
          <w:lang w:val="es-CO"/>
        </w:rPr>
        <w:t xml:space="preserve">de la Sala Penal de la Corte Suprema de Justicia.  </w:t>
      </w:r>
      <w:r w:rsidRPr="003D2B61">
        <w:rPr>
          <w:rFonts w:ascii="Arial" w:hAnsi="Arial" w:cs="Arial"/>
          <w:color w:val="000000" w:themeColor="text1"/>
          <w:lang w:val="es-CO"/>
        </w:rPr>
        <w:t xml:space="preserve">En adelante, la Sala Penal estará integrada por </w:t>
      </w:r>
      <w:r w:rsidRPr="00190629">
        <w:rPr>
          <w:rFonts w:ascii="Arial" w:hAnsi="Arial" w:cs="Arial"/>
          <w:color w:val="FF0000"/>
          <w:lang w:val="es-CO"/>
        </w:rPr>
        <w:t>quince (15)</w:t>
      </w:r>
      <w:r w:rsidRPr="003D2B61">
        <w:rPr>
          <w:rFonts w:ascii="Arial" w:hAnsi="Arial" w:cs="Arial"/>
          <w:color w:val="000000" w:themeColor="text1"/>
          <w:lang w:val="es-CO"/>
        </w:rPr>
        <w:t xml:space="preserve"> Magistrados que conformarán a su vez, </w:t>
      </w:r>
      <w:r w:rsidRPr="00190629">
        <w:rPr>
          <w:rFonts w:ascii="Arial" w:hAnsi="Arial" w:cs="Arial"/>
          <w:color w:val="FF0000"/>
          <w:lang w:val="es-CO"/>
        </w:rPr>
        <w:t>tres (3)</w:t>
      </w:r>
      <w:r w:rsidRPr="003D2B61">
        <w:rPr>
          <w:rFonts w:ascii="Arial" w:hAnsi="Arial" w:cs="Arial"/>
          <w:color w:val="000000" w:themeColor="text1"/>
          <w:lang w:val="es-CO"/>
        </w:rPr>
        <w:t xml:space="preserve"> Salas. Así mismo, se establece la existencia de magistrados que tendrán las funciones de investigación. Su integración es la siguiente: </w:t>
      </w:r>
    </w:p>
    <w:p w:rsidR="00CC16A8" w:rsidRPr="003D2B61" w:rsidRDefault="00CC16A8" w:rsidP="008E5A26">
      <w:pPr>
        <w:jc w:val="both"/>
        <w:rPr>
          <w:rFonts w:ascii="Arial" w:hAnsi="Arial" w:cs="Arial"/>
          <w:color w:val="000000" w:themeColor="text1"/>
          <w:lang w:val="es-CO"/>
        </w:rPr>
      </w:pPr>
    </w:p>
    <w:p w:rsidR="00CC16A8" w:rsidRPr="003D2B61" w:rsidRDefault="00CC16A8" w:rsidP="008E5A26">
      <w:pPr>
        <w:jc w:val="both"/>
        <w:rPr>
          <w:rFonts w:ascii="Arial" w:hAnsi="Arial" w:cs="Arial"/>
          <w:color w:val="000000" w:themeColor="text1"/>
          <w:lang w:val="es-CO"/>
        </w:rPr>
      </w:pPr>
      <w:r w:rsidRPr="003D2B61">
        <w:rPr>
          <w:rFonts w:ascii="Arial" w:hAnsi="Arial" w:cs="Arial"/>
          <w:color w:val="000000" w:themeColor="text1"/>
          <w:lang w:val="es-CO"/>
        </w:rPr>
        <w:t>a) Dos (2) Salas de Juzgamiento ante  las cuales se adelantará el respectivo juicio, en primera instancia, tanto de las acusaciones formuladas por los magistrados de instrucción como de aquellas realizadas por la Fiscalía General de la Nación de acuerdo con el numeral 4 del art. 235 de la Constitución Política. Cada una de ellas estará conformada por dos (2) Magistrados. En caso de existir empate en las decisiones adoptadas, será llamado a dirimirlo uno de los magistrados de la otra sala de juzgamiento, elegido por sorteo.</w:t>
      </w:r>
    </w:p>
    <w:p w:rsidR="00CC16A8" w:rsidRPr="003D2B61" w:rsidRDefault="00CC16A8" w:rsidP="008E5A26">
      <w:pPr>
        <w:jc w:val="both"/>
        <w:rPr>
          <w:rFonts w:ascii="Arial" w:hAnsi="Arial" w:cs="Arial"/>
          <w:color w:val="000000" w:themeColor="text1"/>
          <w:lang w:val="es-CO"/>
        </w:rPr>
      </w:pPr>
    </w:p>
    <w:p w:rsidR="00CC16A8" w:rsidRPr="003D2B61" w:rsidRDefault="00CC16A8" w:rsidP="008E5A26">
      <w:pPr>
        <w:jc w:val="both"/>
        <w:rPr>
          <w:rFonts w:ascii="Arial" w:hAnsi="Arial" w:cs="Arial"/>
          <w:color w:val="000000" w:themeColor="text1"/>
          <w:lang w:val="es-CO"/>
        </w:rPr>
      </w:pPr>
      <w:r w:rsidRPr="003D2B61">
        <w:rPr>
          <w:rFonts w:ascii="Arial" w:hAnsi="Arial" w:cs="Arial"/>
          <w:color w:val="000000" w:themeColor="text1"/>
          <w:lang w:val="es-CO"/>
        </w:rPr>
        <w:t xml:space="preserve">El conocimiento de las conductas cometidas a partir del 1 de enero de 2017 </w:t>
      </w:r>
      <w:r w:rsidR="006D77E3" w:rsidRPr="003D2B61">
        <w:rPr>
          <w:rFonts w:ascii="Arial" w:hAnsi="Arial" w:cs="Arial"/>
          <w:color w:val="000000" w:themeColor="text1"/>
          <w:lang w:val="es-CO"/>
        </w:rPr>
        <w:t>deberá</w:t>
      </w:r>
      <w:r w:rsidRPr="003D2B61">
        <w:rPr>
          <w:rFonts w:ascii="Arial" w:hAnsi="Arial" w:cs="Arial"/>
          <w:color w:val="000000" w:themeColor="text1"/>
          <w:lang w:val="es-CO"/>
        </w:rPr>
        <w:t xml:space="preserve"> ajustarse a los procedimientos propios del Sistema Penal Acusatorio. Para el efecto, los magistrados instructores cumplirán las mismas funciones que tiene asignadas la Fiscalía General de la Nación en el sistema acusatorio.</w:t>
      </w:r>
    </w:p>
    <w:p w:rsidR="00CC16A8" w:rsidRPr="003D2B61" w:rsidRDefault="00CC16A8" w:rsidP="008E5A26">
      <w:pPr>
        <w:jc w:val="both"/>
        <w:rPr>
          <w:rFonts w:ascii="Arial" w:hAnsi="Arial" w:cs="Arial"/>
          <w:color w:val="000000" w:themeColor="text1"/>
          <w:lang w:val="es-CO"/>
        </w:rPr>
      </w:pPr>
    </w:p>
    <w:p w:rsidR="00CC16A8" w:rsidRPr="003D2B61" w:rsidRDefault="00CC16A8" w:rsidP="008E5A26">
      <w:pPr>
        <w:jc w:val="both"/>
        <w:rPr>
          <w:rFonts w:ascii="Arial" w:hAnsi="Arial" w:cs="Arial"/>
          <w:color w:val="000000" w:themeColor="text1"/>
          <w:lang w:val="es-CO"/>
        </w:rPr>
      </w:pPr>
      <w:r w:rsidRPr="003D2B61">
        <w:rPr>
          <w:rFonts w:ascii="Arial" w:hAnsi="Arial" w:cs="Arial"/>
          <w:color w:val="000000" w:themeColor="text1"/>
          <w:lang w:val="es-CO"/>
        </w:rPr>
        <w:t xml:space="preserve">b) La Sala de Casación Penal que se conformará por los actuales nueve (9) Magistrados de la Sala de Casación Penal de la Corte Suprema de Justicia. </w:t>
      </w:r>
    </w:p>
    <w:p w:rsidR="00CC16A8" w:rsidRPr="003D2B61" w:rsidRDefault="00CC16A8" w:rsidP="008E5A26">
      <w:pPr>
        <w:jc w:val="both"/>
        <w:rPr>
          <w:rFonts w:ascii="Arial" w:hAnsi="Arial" w:cs="Arial"/>
          <w:color w:val="000000" w:themeColor="text1"/>
          <w:lang w:val="es-CO"/>
        </w:rPr>
      </w:pPr>
    </w:p>
    <w:p w:rsidR="00CC16A8" w:rsidRPr="003D2B61" w:rsidRDefault="00CC16A8" w:rsidP="008E5A26">
      <w:pPr>
        <w:jc w:val="both"/>
        <w:rPr>
          <w:rFonts w:ascii="Arial" w:hAnsi="Arial" w:cs="Arial"/>
          <w:color w:val="000000" w:themeColor="text1"/>
          <w:lang w:val="es-CO"/>
        </w:rPr>
      </w:pPr>
      <w:r w:rsidRPr="003D2B61">
        <w:rPr>
          <w:rFonts w:ascii="Arial" w:hAnsi="Arial" w:cs="Arial"/>
          <w:color w:val="000000" w:themeColor="text1"/>
          <w:lang w:val="es-CO"/>
        </w:rPr>
        <w:t>Esta Sala será el órgano de cierre de la jurisdicción ordinaria en materia penal y conocerá de los asuntos de casación, revisión y extradición, así como de los recursos de apelación contra las providencias proferidas en primera instancia por las Salas de Juzgamiento y contra las sentencias proferidas en primera instancia por las Salas Penales de Decisión de los Tribunales Superiores de Distrito Judicial y las Salas de Conocimiento del Tribunal de Justicia y Paz. También conocerá de las acciones de tutela, de conformidad con el Decreto 1382 de 2000.</w:t>
      </w:r>
    </w:p>
    <w:p w:rsidR="00CC16A8" w:rsidRPr="003D2B61" w:rsidRDefault="00CC16A8" w:rsidP="008E5A26">
      <w:pPr>
        <w:jc w:val="both"/>
        <w:rPr>
          <w:rFonts w:ascii="Arial" w:hAnsi="Arial" w:cs="Arial"/>
          <w:color w:val="000000" w:themeColor="text1"/>
          <w:lang w:val="es-CO"/>
        </w:rPr>
      </w:pPr>
    </w:p>
    <w:p w:rsidR="00CC16A8" w:rsidRPr="003D2B61" w:rsidRDefault="00CC16A8" w:rsidP="008E5A26">
      <w:pPr>
        <w:jc w:val="both"/>
        <w:rPr>
          <w:rFonts w:ascii="Arial" w:hAnsi="Arial" w:cs="Arial"/>
          <w:iCs/>
          <w:color w:val="000000" w:themeColor="text1"/>
          <w:lang w:val="es-CO"/>
        </w:rPr>
      </w:pPr>
      <w:r w:rsidRPr="003D2B61">
        <w:rPr>
          <w:rFonts w:ascii="Arial" w:hAnsi="Arial" w:cs="Arial"/>
          <w:color w:val="000000" w:themeColor="text1"/>
          <w:lang w:val="es-CO"/>
        </w:rPr>
        <w:t xml:space="preserve">Con el objeto de hacer realidad la justicia material en casos concretos, la Sala de Casación Penal también podrá optar por proferir fallos en equidad en aquellos eventos en los que </w:t>
      </w:r>
      <w:r w:rsidRPr="003D2B61">
        <w:rPr>
          <w:rFonts w:ascii="Arial" w:hAnsi="Arial" w:cs="Arial"/>
          <w:iCs/>
          <w:color w:val="000000" w:themeColor="text1"/>
          <w:lang w:val="es-CO"/>
        </w:rPr>
        <w:t>el rigor de la ley no resulte aplicable.</w:t>
      </w:r>
    </w:p>
    <w:p w:rsidR="00CC16A8" w:rsidRPr="003D2B61" w:rsidRDefault="00CC16A8" w:rsidP="008E5A26">
      <w:pPr>
        <w:jc w:val="both"/>
        <w:rPr>
          <w:rFonts w:ascii="Arial" w:hAnsi="Arial" w:cs="Arial"/>
          <w:iCs/>
          <w:color w:val="000000" w:themeColor="text1"/>
          <w:lang w:val="es-CO"/>
        </w:rPr>
      </w:pPr>
    </w:p>
    <w:p w:rsidR="007070B5" w:rsidRDefault="00CC16A8" w:rsidP="008E5A26">
      <w:pPr>
        <w:jc w:val="both"/>
        <w:rPr>
          <w:rFonts w:ascii="Arial" w:hAnsi="Arial" w:cs="Arial"/>
          <w:color w:val="000000" w:themeColor="text1"/>
          <w:lang w:val="es-CO"/>
        </w:rPr>
      </w:pPr>
      <w:r w:rsidRPr="003D2B61">
        <w:rPr>
          <w:rFonts w:ascii="Arial" w:hAnsi="Arial" w:cs="Arial"/>
          <w:color w:val="000000" w:themeColor="text1"/>
          <w:lang w:val="es-CO"/>
        </w:rPr>
        <w:t xml:space="preserve">c) Se crean así mismo dos magistrados de Instrucción, encargados de realizar las labores de investigación y de acusación en los casos que adelanta la Corte Suprema de Justicia contra congresistas. </w:t>
      </w:r>
      <w:r w:rsidR="007070B5">
        <w:rPr>
          <w:rFonts w:ascii="Arial" w:hAnsi="Arial" w:cs="Arial"/>
          <w:color w:val="000000" w:themeColor="text1"/>
          <w:lang w:val="es-CO"/>
        </w:rPr>
        <w:t>En todo caso, durante todas las instancias se garantizará la presencia y acompañamiento del Ministerio Público por medio de la Procuraduría General de la Nación.</w:t>
      </w:r>
    </w:p>
    <w:p w:rsidR="007070B5" w:rsidRDefault="007070B5" w:rsidP="008E5A26">
      <w:pPr>
        <w:jc w:val="both"/>
        <w:rPr>
          <w:rFonts w:ascii="Arial" w:hAnsi="Arial" w:cs="Arial"/>
          <w:color w:val="000000" w:themeColor="text1"/>
          <w:lang w:val="es-CO"/>
        </w:rPr>
      </w:pPr>
    </w:p>
    <w:p w:rsidR="00CC16A8" w:rsidRPr="003D2B61" w:rsidRDefault="007070B5" w:rsidP="008E5A26">
      <w:pPr>
        <w:jc w:val="both"/>
        <w:rPr>
          <w:rFonts w:ascii="Arial" w:hAnsi="Arial" w:cs="Arial"/>
          <w:color w:val="000000" w:themeColor="text1"/>
          <w:lang w:val="es-CO"/>
        </w:rPr>
      </w:pPr>
      <w:r w:rsidRPr="003D2B61">
        <w:rPr>
          <w:rFonts w:ascii="Arial" w:hAnsi="Arial" w:cs="Arial"/>
          <w:b/>
          <w:color w:val="000000" w:themeColor="text1"/>
          <w:lang w:val="es-CO"/>
        </w:rPr>
        <w:t>Parágrafo</w:t>
      </w:r>
      <w:r>
        <w:rPr>
          <w:rFonts w:ascii="Arial" w:hAnsi="Arial" w:cs="Arial"/>
          <w:b/>
          <w:color w:val="000000" w:themeColor="text1"/>
          <w:lang w:val="es-CO"/>
        </w:rPr>
        <w:t xml:space="preserve"> Transitorio: </w:t>
      </w:r>
      <w:r w:rsidRPr="007070B5">
        <w:rPr>
          <w:rFonts w:ascii="Arial" w:hAnsi="Arial" w:cs="Arial"/>
          <w:color w:val="000000" w:themeColor="text1"/>
          <w:lang w:val="es-CO"/>
        </w:rPr>
        <w:t xml:space="preserve">Los Magistrados de </w:t>
      </w:r>
      <w:r>
        <w:rPr>
          <w:rFonts w:ascii="Arial" w:hAnsi="Arial" w:cs="Arial"/>
          <w:color w:val="000000" w:themeColor="text1"/>
          <w:lang w:val="es-CO"/>
        </w:rPr>
        <w:t>i</w:t>
      </w:r>
      <w:r w:rsidRPr="007070B5">
        <w:rPr>
          <w:rFonts w:ascii="Arial" w:hAnsi="Arial" w:cs="Arial"/>
          <w:color w:val="000000" w:themeColor="text1"/>
          <w:lang w:val="es-CO"/>
        </w:rPr>
        <w:t>nstrucción</w:t>
      </w:r>
      <w:r>
        <w:rPr>
          <w:rFonts w:ascii="Arial" w:hAnsi="Arial" w:cs="Arial"/>
          <w:color w:val="000000" w:themeColor="text1"/>
          <w:lang w:val="es-CO"/>
        </w:rPr>
        <w:t xml:space="preserve"> en los procesos en curso y en los que se adelanten por conductas cometidas antes del 1º de enero de 2.017 aplicando el procedimiento de la Ley 600 de 2.000, adoptarán las decisiones en Sala. En caso de empate se resolverá con la designación de un conjuez. </w:t>
      </w:r>
      <w:r w:rsidRPr="007070B5">
        <w:rPr>
          <w:rFonts w:ascii="Arial" w:hAnsi="Arial" w:cs="Arial"/>
          <w:color w:val="000000" w:themeColor="text1"/>
          <w:lang w:val="es-CO"/>
        </w:rPr>
        <w:t xml:space="preserve"> </w:t>
      </w:r>
      <w:r>
        <w:rPr>
          <w:rFonts w:ascii="Arial" w:hAnsi="Arial" w:cs="Arial"/>
          <w:color w:val="000000" w:themeColor="text1"/>
          <w:lang w:val="es-CO"/>
        </w:rPr>
        <w:t xml:space="preserve">  </w:t>
      </w:r>
      <w:r w:rsidR="00CC16A8" w:rsidRPr="003D2B61">
        <w:rPr>
          <w:rFonts w:ascii="Arial" w:hAnsi="Arial" w:cs="Arial"/>
          <w:color w:val="000000" w:themeColor="text1"/>
          <w:lang w:val="es-CO"/>
        </w:rPr>
        <w:t xml:space="preserve"> </w:t>
      </w:r>
    </w:p>
    <w:p w:rsidR="00CC16A8" w:rsidRPr="003D2B61" w:rsidRDefault="00CC16A8" w:rsidP="008E5A26">
      <w:pPr>
        <w:jc w:val="both"/>
        <w:rPr>
          <w:rFonts w:ascii="Arial" w:hAnsi="Arial" w:cs="Arial"/>
          <w:color w:val="000000" w:themeColor="text1"/>
          <w:lang w:val="es-CO"/>
        </w:rPr>
      </w:pPr>
    </w:p>
    <w:p w:rsidR="00CC16A8" w:rsidRPr="003D2B61" w:rsidRDefault="00CC16A8" w:rsidP="008E5A26">
      <w:pPr>
        <w:jc w:val="both"/>
        <w:rPr>
          <w:rFonts w:ascii="Arial" w:hAnsi="Arial" w:cs="Arial"/>
          <w:color w:val="000000" w:themeColor="text1"/>
          <w:lang w:val="es-CO"/>
        </w:rPr>
      </w:pPr>
      <w:r w:rsidRPr="003D2B61">
        <w:rPr>
          <w:rFonts w:ascii="Arial" w:hAnsi="Arial" w:cs="Arial"/>
          <w:b/>
          <w:bCs/>
          <w:color w:val="000000" w:themeColor="text1"/>
          <w:lang w:val="es-ES"/>
        </w:rPr>
        <w:t xml:space="preserve">ARTÍCULO </w:t>
      </w:r>
      <w:r w:rsidRPr="003D2B61">
        <w:rPr>
          <w:rFonts w:ascii="Arial" w:hAnsi="Arial" w:cs="Arial"/>
          <w:b/>
          <w:color w:val="000000" w:themeColor="text1"/>
          <w:lang w:val="es-CO"/>
        </w:rPr>
        <w:t>4°</w:t>
      </w:r>
      <w:r w:rsidRPr="003D2B61">
        <w:rPr>
          <w:rFonts w:ascii="Arial" w:hAnsi="Arial" w:cs="Arial"/>
          <w:color w:val="000000" w:themeColor="text1"/>
          <w:lang w:val="es-CO"/>
        </w:rPr>
        <w:t>. Apruébese como artículo nuevo de la Ley 270 de 1996 el siguiente:</w:t>
      </w:r>
    </w:p>
    <w:p w:rsidR="006D77E3" w:rsidRPr="003D2B61" w:rsidRDefault="006D77E3" w:rsidP="008E5A26">
      <w:pPr>
        <w:jc w:val="both"/>
        <w:rPr>
          <w:rFonts w:ascii="Arial" w:hAnsi="Arial" w:cs="Arial"/>
          <w:color w:val="000000" w:themeColor="text1"/>
          <w:lang w:val="es-CO"/>
        </w:rPr>
      </w:pPr>
    </w:p>
    <w:p w:rsidR="00CC16A8" w:rsidRPr="003D2B61" w:rsidRDefault="00CC16A8" w:rsidP="008E5A26">
      <w:pPr>
        <w:jc w:val="both"/>
        <w:rPr>
          <w:rFonts w:ascii="Arial" w:hAnsi="Arial" w:cs="Arial"/>
          <w:color w:val="000000" w:themeColor="text1"/>
          <w:lang w:val="es-CO"/>
        </w:rPr>
      </w:pPr>
      <w:r w:rsidRPr="003D2B61">
        <w:rPr>
          <w:rFonts w:ascii="Arial" w:hAnsi="Arial" w:cs="Arial"/>
          <w:b/>
          <w:color w:val="000000" w:themeColor="text1"/>
          <w:lang w:val="es-CO"/>
        </w:rPr>
        <w:t>Artículo 16 B.</w:t>
      </w:r>
      <w:r w:rsidR="00C82731">
        <w:rPr>
          <w:rFonts w:ascii="Arial" w:hAnsi="Arial" w:cs="Arial"/>
          <w:b/>
          <w:color w:val="000000" w:themeColor="text1"/>
          <w:lang w:val="es-CO"/>
        </w:rPr>
        <w:t xml:space="preserve"> </w:t>
      </w:r>
      <w:r w:rsidRPr="003D2B61">
        <w:rPr>
          <w:rFonts w:ascii="Arial" w:hAnsi="Arial" w:cs="Arial"/>
          <w:b/>
          <w:color w:val="000000" w:themeColor="text1"/>
          <w:lang w:val="es-CO"/>
        </w:rPr>
        <w:t>Sentencias interpretativas y de unificación.</w:t>
      </w:r>
      <w:r w:rsidRPr="003D2B61">
        <w:rPr>
          <w:rFonts w:ascii="Arial" w:hAnsi="Arial" w:cs="Arial"/>
          <w:color w:val="000000" w:themeColor="text1"/>
          <w:lang w:val="es-CO"/>
        </w:rPr>
        <w:t xml:space="preserve"> La Sala de Casación Penal de la Corte Suprema de Justicia podrá proferir sentencias interpretativas, con el fin de aclarar el sentido o el alcance de una norma, definir su interpretación, evitar vacíos en el ordenamiento jurídico, unificar de forma abstracta y general la jurisprudencia, e irradiar los efectos de los derechos fundamentales en el proceso penal.  Estas sentencias tendrán fuerza vinculante también en casos diferentes de aquellos en que se dicte. </w:t>
      </w:r>
    </w:p>
    <w:p w:rsidR="00CC16A8" w:rsidRPr="003D2B61" w:rsidRDefault="00CC16A8" w:rsidP="008E5A26">
      <w:pPr>
        <w:jc w:val="both"/>
        <w:rPr>
          <w:rFonts w:ascii="Arial" w:hAnsi="Arial" w:cs="Arial"/>
          <w:color w:val="000000" w:themeColor="text1"/>
          <w:lang w:val="es-CO"/>
        </w:rPr>
      </w:pPr>
    </w:p>
    <w:p w:rsidR="00CC16A8" w:rsidRPr="003D2B61" w:rsidRDefault="00CC16A8" w:rsidP="008E5A26">
      <w:pPr>
        <w:jc w:val="both"/>
        <w:rPr>
          <w:rFonts w:ascii="Arial" w:hAnsi="Arial" w:cs="Arial"/>
          <w:color w:val="000000" w:themeColor="text1"/>
          <w:lang w:val="es-CO"/>
        </w:rPr>
      </w:pPr>
      <w:r w:rsidRPr="003D2B61">
        <w:rPr>
          <w:rFonts w:ascii="Arial" w:hAnsi="Arial" w:cs="Arial"/>
          <w:color w:val="000000" w:themeColor="text1"/>
          <w:lang w:val="es-CO"/>
        </w:rPr>
        <w:t>La selección de los casos objeto de estas sentencias será discrecional de la Sala de Casación Penal. Sin perjuicio de ello, también podrán solicitar la selección de estos asuntos, las partes o intervinientes en el proceso penal, cuando justifiquen la necesidad de unificar la jurisprudencia en un caso concreto.</w:t>
      </w:r>
    </w:p>
    <w:p w:rsidR="00CC16A8" w:rsidRPr="003D2B61" w:rsidRDefault="00CC16A8" w:rsidP="008E5A26">
      <w:pPr>
        <w:jc w:val="both"/>
        <w:rPr>
          <w:rFonts w:ascii="Arial" w:hAnsi="Arial" w:cs="Arial"/>
          <w:b/>
          <w:color w:val="000000" w:themeColor="text1"/>
          <w:lang w:val="es-CO"/>
        </w:rPr>
      </w:pPr>
    </w:p>
    <w:p w:rsidR="00CC16A8" w:rsidRPr="003D2B61" w:rsidRDefault="00CC16A8" w:rsidP="008E5A26">
      <w:pPr>
        <w:jc w:val="both"/>
        <w:rPr>
          <w:rFonts w:ascii="Arial" w:hAnsi="Arial" w:cs="Arial"/>
          <w:color w:val="000000" w:themeColor="text1"/>
          <w:lang w:val="es-CO"/>
        </w:rPr>
      </w:pPr>
      <w:r w:rsidRPr="003D2B61">
        <w:rPr>
          <w:rFonts w:ascii="Arial" w:hAnsi="Arial" w:cs="Arial"/>
          <w:b/>
          <w:bCs/>
          <w:color w:val="000000" w:themeColor="text1"/>
          <w:lang w:val="es-ES"/>
        </w:rPr>
        <w:t xml:space="preserve">ARTÍCULO </w:t>
      </w:r>
      <w:r w:rsidRPr="003D2B61">
        <w:rPr>
          <w:rFonts w:ascii="Arial" w:hAnsi="Arial" w:cs="Arial"/>
          <w:b/>
          <w:color w:val="000000" w:themeColor="text1"/>
          <w:lang w:val="es-CO"/>
        </w:rPr>
        <w:t>5</w:t>
      </w:r>
      <w:r w:rsidR="004D6B74" w:rsidRPr="003D2B61">
        <w:rPr>
          <w:rFonts w:ascii="Arial" w:hAnsi="Arial" w:cs="Arial"/>
          <w:b/>
          <w:color w:val="000000" w:themeColor="text1"/>
          <w:lang w:val="es-CO"/>
        </w:rPr>
        <w:t>°</w:t>
      </w:r>
      <w:r w:rsidRPr="003D2B61">
        <w:rPr>
          <w:rFonts w:ascii="Arial" w:hAnsi="Arial" w:cs="Arial"/>
          <w:b/>
          <w:color w:val="000000" w:themeColor="text1"/>
          <w:lang w:val="es-CO"/>
        </w:rPr>
        <w:t>.</w:t>
      </w:r>
      <w:r w:rsidRPr="003D2B61">
        <w:rPr>
          <w:rFonts w:ascii="Arial" w:hAnsi="Arial" w:cs="Arial"/>
          <w:color w:val="000000" w:themeColor="text1"/>
          <w:lang w:val="es-CO"/>
        </w:rPr>
        <w:t xml:space="preserve"> Adiciónese el siguiente nuevo artículo a la Ley 270 de 1996, el cual tendrá carácter transitorio. </w:t>
      </w:r>
    </w:p>
    <w:p w:rsidR="006D77E3" w:rsidRPr="003D2B61" w:rsidRDefault="006D77E3" w:rsidP="008E5A26">
      <w:pPr>
        <w:jc w:val="both"/>
        <w:rPr>
          <w:rFonts w:ascii="Arial" w:hAnsi="Arial" w:cs="Arial"/>
          <w:color w:val="000000" w:themeColor="text1"/>
          <w:lang w:val="es-CO"/>
        </w:rPr>
      </w:pPr>
    </w:p>
    <w:p w:rsidR="00CC16A8" w:rsidRPr="003D2B61" w:rsidRDefault="00CC16A8" w:rsidP="008E5A26">
      <w:pPr>
        <w:jc w:val="both"/>
        <w:rPr>
          <w:rFonts w:ascii="Arial" w:hAnsi="Arial" w:cs="Arial"/>
          <w:color w:val="000000" w:themeColor="text1"/>
          <w:lang w:val="es-CO"/>
        </w:rPr>
      </w:pPr>
      <w:r w:rsidRPr="003D2B61">
        <w:rPr>
          <w:rFonts w:ascii="Arial" w:hAnsi="Arial" w:cs="Arial"/>
          <w:b/>
          <w:color w:val="000000" w:themeColor="text1"/>
          <w:lang w:val="es-CO"/>
        </w:rPr>
        <w:t>Artículo 16C. Transitorio</w:t>
      </w:r>
      <w:r w:rsidRPr="003D2B61">
        <w:rPr>
          <w:rFonts w:ascii="Arial" w:hAnsi="Arial" w:cs="Arial"/>
          <w:color w:val="000000" w:themeColor="text1"/>
          <w:lang w:val="es-CO"/>
        </w:rPr>
        <w:t xml:space="preserve">. Las investigaciones previas, los sumarios y los juicios que actualmente adelanta la Sala de Casación Penal de la Corte Suprema de Justicia serán remitidos en el estado en que se encuentren a las Salas de Instrucción y Juzgamiento, respectivamente, para que continúen con el consiguiente trámite. Todas las actuaciones y pruebas que hayan sido practicadas mantendrán plena validez. </w:t>
      </w:r>
    </w:p>
    <w:p w:rsidR="006D77E3" w:rsidRPr="003D2B61" w:rsidRDefault="006D77E3" w:rsidP="008E5A26">
      <w:pPr>
        <w:jc w:val="both"/>
        <w:rPr>
          <w:rFonts w:ascii="Arial" w:hAnsi="Arial" w:cs="Arial"/>
          <w:color w:val="000000" w:themeColor="text1"/>
          <w:lang w:val="es-CO"/>
        </w:rPr>
      </w:pPr>
    </w:p>
    <w:p w:rsidR="00CC16A8" w:rsidRPr="003D2B61" w:rsidRDefault="00CC16A8" w:rsidP="008E5A26">
      <w:pPr>
        <w:jc w:val="both"/>
        <w:rPr>
          <w:rFonts w:ascii="Arial" w:hAnsi="Arial" w:cs="Arial"/>
          <w:color w:val="000000" w:themeColor="text1"/>
          <w:lang w:val="es-CO"/>
        </w:rPr>
      </w:pPr>
      <w:r w:rsidRPr="003D2B61">
        <w:rPr>
          <w:rFonts w:ascii="Arial" w:hAnsi="Arial" w:cs="Arial"/>
          <w:b/>
          <w:color w:val="000000" w:themeColor="text1"/>
          <w:lang w:val="es-CO"/>
        </w:rPr>
        <w:t>Parágrafo Transitorio</w:t>
      </w:r>
      <w:r w:rsidRPr="003D2B61">
        <w:rPr>
          <w:rFonts w:ascii="Arial" w:hAnsi="Arial" w:cs="Arial"/>
          <w:color w:val="000000" w:themeColor="text1"/>
          <w:lang w:val="es-CO"/>
        </w:rPr>
        <w:t>. Modifícanse en lo pertinente, las normas sobre competencia contenidas en las Leyes 600 de 2000 y 906 de 2004, de conformidad con las nuevas competencias que se le asignan a las Salas de Instrucción, de Juzgamiento y de Casación Penal.</w:t>
      </w:r>
    </w:p>
    <w:p w:rsidR="00CC16A8" w:rsidRPr="003D2B61" w:rsidRDefault="00CC16A8" w:rsidP="008E5A26">
      <w:pPr>
        <w:jc w:val="both"/>
        <w:rPr>
          <w:rFonts w:ascii="Arial" w:hAnsi="Arial" w:cs="Arial"/>
          <w:color w:val="000000" w:themeColor="text1"/>
          <w:lang w:val="es-CO"/>
        </w:rPr>
      </w:pPr>
    </w:p>
    <w:p w:rsidR="00CC16A8" w:rsidRPr="003D2B61" w:rsidRDefault="00CC16A8" w:rsidP="008E5A26">
      <w:pPr>
        <w:jc w:val="both"/>
        <w:rPr>
          <w:rFonts w:ascii="Arial" w:hAnsi="Arial" w:cs="Arial"/>
          <w:color w:val="000000" w:themeColor="text1"/>
          <w:lang w:val="es-CO"/>
        </w:rPr>
      </w:pPr>
      <w:r w:rsidRPr="003D2B61">
        <w:rPr>
          <w:rFonts w:ascii="Arial" w:hAnsi="Arial" w:cs="Arial"/>
          <w:b/>
          <w:bCs/>
          <w:color w:val="000000" w:themeColor="text1"/>
          <w:lang w:val="es-ES"/>
        </w:rPr>
        <w:t>ARTÍCULO</w:t>
      </w:r>
      <w:r w:rsidRPr="003D2B61">
        <w:rPr>
          <w:rFonts w:ascii="Arial" w:hAnsi="Arial" w:cs="Arial"/>
          <w:b/>
          <w:color w:val="000000" w:themeColor="text1"/>
          <w:lang w:val="es-CO"/>
        </w:rPr>
        <w:t>6</w:t>
      </w:r>
      <w:r w:rsidR="004D6B74" w:rsidRPr="003D2B61">
        <w:rPr>
          <w:rFonts w:ascii="Arial" w:hAnsi="Arial" w:cs="Arial"/>
          <w:b/>
          <w:color w:val="000000" w:themeColor="text1"/>
          <w:lang w:val="es-CO"/>
        </w:rPr>
        <w:t>°</w:t>
      </w:r>
      <w:r w:rsidRPr="003D2B61">
        <w:rPr>
          <w:rFonts w:ascii="Arial" w:hAnsi="Arial" w:cs="Arial"/>
          <w:b/>
          <w:color w:val="000000" w:themeColor="text1"/>
          <w:lang w:val="es-CO"/>
        </w:rPr>
        <w:t xml:space="preserve">. </w:t>
      </w:r>
      <w:r w:rsidRPr="003D2B61">
        <w:rPr>
          <w:rFonts w:ascii="Arial" w:hAnsi="Arial" w:cs="Arial"/>
          <w:color w:val="000000" w:themeColor="text1"/>
          <w:lang w:val="es-CO"/>
        </w:rPr>
        <w:t>Apruébese como artículo nuevo de la Ley 270 de 1996 el siguiente:</w:t>
      </w:r>
    </w:p>
    <w:p w:rsidR="006D77E3" w:rsidRPr="003D2B61" w:rsidRDefault="006D77E3" w:rsidP="008E5A26">
      <w:pPr>
        <w:jc w:val="both"/>
        <w:rPr>
          <w:rFonts w:ascii="Arial" w:hAnsi="Arial" w:cs="Arial"/>
          <w:color w:val="000000" w:themeColor="text1"/>
          <w:lang w:val="es-CO"/>
        </w:rPr>
      </w:pPr>
    </w:p>
    <w:p w:rsidR="00CC16A8" w:rsidRPr="003D2B61" w:rsidRDefault="00CC16A8" w:rsidP="008E5A26">
      <w:pPr>
        <w:jc w:val="both"/>
        <w:rPr>
          <w:rFonts w:ascii="Arial" w:hAnsi="Arial" w:cs="Arial"/>
          <w:color w:val="000000" w:themeColor="text1"/>
          <w:lang w:val="es-CO"/>
        </w:rPr>
      </w:pPr>
      <w:r w:rsidRPr="003D2B61">
        <w:rPr>
          <w:rFonts w:ascii="Arial" w:hAnsi="Arial" w:cs="Arial"/>
          <w:b/>
          <w:color w:val="000000" w:themeColor="text1"/>
          <w:lang w:val="es-CO"/>
        </w:rPr>
        <w:t>Artículo 16D. Competencia Residual.</w:t>
      </w:r>
      <w:r w:rsidRPr="003D2B61">
        <w:rPr>
          <w:rFonts w:ascii="Arial" w:hAnsi="Arial" w:cs="Arial"/>
          <w:color w:val="000000" w:themeColor="text1"/>
          <w:lang w:val="es-CO"/>
        </w:rPr>
        <w:t xml:space="preserve"> El conocimiento de los asuntos que no le hayan sido conferidos de forma expresa a la Sala de Casación Penal serán de competencia de las Salas de Juzgamiento.</w:t>
      </w:r>
    </w:p>
    <w:p w:rsidR="00CC16A8" w:rsidRPr="003D2B61" w:rsidRDefault="00CC16A8" w:rsidP="008E5A26">
      <w:pPr>
        <w:jc w:val="both"/>
        <w:rPr>
          <w:rFonts w:ascii="Arial" w:hAnsi="Arial" w:cs="Arial"/>
          <w:color w:val="000000" w:themeColor="text1"/>
          <w:lang w:val="es-CO"/>
        </w:rPr>
      </w:pPr>
    </w:p>
    <w:p w:rsidR="00CC16A8" w:rsidRPr="003D2B61" w:rsidRDefault="00CC16A8" w:rsidP="008E5A26">
      <w:pPr>
        <w:jc w:val="both"/>
        <w:rPr>
          <w:rFonts w:ascii="Arial" w:hAnsi="Arial" w:cs="Arial"/>
          <w:color w:val="000000" w:themeColor="text1"/>
          <w:lang w:val="es-CO"/>
        </w:rPr>
      </w:pPr>
      <w:r w:rsidRPr="003D2B61">
        <w:rPr>
          <w:rFonts w:ascii="Arial" w:hAnsi="Arial" w:cs="Arial"/>
          <w:b/>
          <w:color w:val="000000" w:themeColor="text1"/>
          <w:lang w:val="es-CO"/>
        </w:rPr>
        <w:t>ARTÍCULO 7</w:t>
      </w:r>
      <w:r w:rsidR="004D6B74" w:rsidRPr="003D2B61">
        <w:rPr>
          <w:rFonts w:ascii="Arial" w:hAnsi="Arial" w:cs="Arial"/>
          <w:b/>
          <w:color w:val="000000" w:themeColor="text1"/>
          <w:lang w:val="es-CO"/>
        </w:rPr>
        <w:t>°</w:t>
      </w:r>
      <w:r w:rsidRPr="003D2B61">
        <w:rPr>
          <w:rFonts w:ascii="Arial" w:hAnsi="Arial" w:cs="Arial"/>
          <w:b/>
          <w:color w:val="000000" w:themeColor="text1"/>
          <w:lang w:val="es-CO"/>
        </w:rPr>
        <w:t xml:space="preserve">. Vigencia. </w:t>
      </w:r>
      <w:r w:rsidRPr="003D2B61">
        <w:rPr>
          <w:rFonts w:ascii="Arial" w:hAnsi="Arial" w:cs="Arial"/>
          <w:color w:val="000000" w:themeColor="text1"/>
          <w:lang w:val="es-CO"/>
        </w:rPr>
        <w:t xml:space="preserve">La presente ley rige a partir de su promulgación. </w:t>
      </w:r>
    </w:p>
    <w:p w:rsidR="00CC16A8" w:rsidRDefault="00CC16A8" w:rsidP="00CC16A8">
      <w:pPr>
        <w:pStyle w:val="Sinespaciado"/>
        <w:spacing w:line="276" w:lineRule="auto"/>
        <w:rPr>
          <w:rFonts w:ascii="Arial" w:hAnsi="Arial" w:cs="Arial"/>
          <w:sz w:val="24"/>
          <w:szCs w:val="24"/>
          <w:lang w:val="es-CO"/>
        </w:rPr>
      </w:pPr>
    </w:p>
    <w:p w:rsidR="003D2B61" w:rsidRDefault="008E5A26" w:rsidP="003D2B61">
      <w:pPr>
        <w:pStyle w:val="Sinespaciado"/>
        <w:jc w:val="both"/>
        <w:rPr>
          <w:rFonts w:ascii="Arial" w:hAnsi="Arial" w:cs="Arial"/>
          <w:sz w:val="24"/>
          <w:szCs w:val="24"/>
        </w:rPr>
      </w:pPr>
      <w:r>
        <w:rPr>
          <w:rFonts w:ascii="Arial" w:hAnsi="Arial" w:cs="Arial"/>
          <w:sz w:val="24"/>
          <w:szCs w:val="24"/>
        </w:rPr>
        <w:t>E</w:t>
      </w:r>
      <w:r w:rsidR="003D2B61">
        <w:rPr>
          <w:rFonts w:ascii="Arial" w:hAnsi="Arial" w:cs="Arial"/>
          <w:sz w:val="24"/>
          <w:szCs w:val="24"/>
        </w:rPr>
        <w:t xml:space="preserve">n los anteriores términos fue aprobado </w:t>
      </w:r>
      <w:r>
        <w:rPr>
          <w:rFonts w:ascii="Arial" w:hAnsi="Arial" w:cs="Arial"/>
          <w:sz w:val="24"/>
          <w:szCs w:val="24"/>
        </w:rPr>
        <w:t>co</w:t>
      </w:r>
      <w:r w:rsidR="003D2B61">
        <w:rPr>
          <w:rFonts w:ascii="Arial" w:hAnsi="Arial" w:cs="Arial"/>
          <w:sz w:val="24"/>
          <w:szCs w:val="24"/>
        </w:rPr>
        <w:t xml:space="preserve">n modificaciones el presente Proyecto de Ley </w:t>
      </w:r>
      <w:r w:rsidR="00F87E2C">
        <w:rPr>
          <w:rFonts w:ascii="Arial" w:hAnsi="Arial" w:cs="Arial"/>
          <w:sz w:val="24"/>
          <w:szCs w:val="24"/>
        </w:rPr>
        <w:t xml:space="preserve">Estatutaria </w:t>
      </w:r>
      <w:r w:rsidR="003D2B61">
        <w:rPr>
          <w:rFonts w:ascii="Arial" w:hAnsi="Arial" w:cs="Arial"/>
          <w:sz w:val="24"/>
          <w:szCs w:val="24"/>
        </w:rPr>
        <w:t>el día 2</w:t>
      </w:r>
      <w:r w:rsidR="007D5ED2">
        <w:rPr>
          <w:rFonts w:ascii="Arial" w:hAnsi="Arial" w:cs="Arial"/>
          <w:sz w:val="24"/>
          <w:szCs w:val="24"/>
        </w:rPr>
        <w:t>9</w:t>
      </w:r>
      <w:r w:rsidR="003D2B61">
        <w:rPr>
          <w:rFonts w:ascii="Arial" w:hAnsi="Arial" w:cs="Arial"/>
          <w:sz w:val="24"/>
          <w:szCs w:val="24"/>
        </w:rPr>
        <w:t xml:space="preserve"> de octubre de 2014, según consta en el Acta No. </w:t>
      </w:r>
      <w:r w:rsidR="007D5ED2">
        <w:rPr>
          <w:rFonts w:ascii="Arial" w:hAnsi="Arial" w:cs="Arial"/>
          <w:sz w:val="24"/>
          <w:szCs w:val="24"/>
        </w:rPr>
        <w:t>20</w:t>
      </w:r>
      <w:r w:rsidR="003D2B61">
        <w:rPr>
          <w:rFonts w:ascii="Arial" w:hAnsi="Arial" w:cs="Arial"/>
          <w:sz w:val="24"/>
          <w:szCs w:val="24"/>
        </w:rPr>
        <w:t>. Anunciado entre otras fechas el 2</w:t>
      </w:r>
      <w:r w:rsidR="007D5ED2">
        <w:rPr>
          <w:rFonts w:ascii="Arial" w:hAnsi="Arial" w:cs="Arial"/>
          <w:sz w:val="24"/>
          <w:szCs w:val="24"/>
        </w:rPr>
        <w:t>8</w:t>
      </w:r>
      <w:r w:rsidR="003D2B61">
        <w:rPr>
          <w:rFonts w:ascii="Arial" w:hAnsi="Arial" w:cs="Arial"/>
          <w:sz w:val="24"/>
          <w:szCs w:val="24"/>
        </w:rPr>
        <w:t xml:space="preserve"> de octubre según consta en el Acta No. 1</w:t>
      </w:r>
      <w:r w:rsidR="007D5ED2">
        <w:rPr>
          <w:rFonts w:ascii="Arial" w:hAnsi="Arial" w:cs="Arial"/>
          <w:sz w:val="24"/>
          <w:szCs w:val="24"/>
        </w:rPr>
        <w:t>9</w:t>
      </w:r>
      <w:r w:rsidR="003D2B61">
        <w:rPr>
          <w:rFonts w:ascii="Arial" w:hAnsi="Arial" w:cs="Arial"/>
          <w:sz w:val="24"/>
          <w:szCs w:val="24"/>
        </w:rPr>
        <w:t xml:space="preserve"> de esa misma fecha.  </w:t>
      </w:r>
    </w:p>
    <w:p w:rsidR="003D2B61" w:rsidRDefault="003D2B61" w:rsidP="003D2B61">
      <w:pPr>
        <w:pStyle w:val="Sinespaciado"/>
        <w:jc w:val="both"/>
        <w:rPr>
          <w:rFonts w:ascii="Arial" w:hAnsi="Arial" w:cs="Arial"/>
          <w:sz w:val="24"/>
          <w:szCs w:val="24"/>
        </w:rPr>
      </w:pPr>
    </w:p>
    <w:p w:rsidR="003D2B61" w:rsidRDefault="003D2B61" w:rsidP="003D2B61">
      <w:pPr>
        <w:pStyle w:val="Sinespaciado"/>
        <w:jc w:val="both"/>
        <w:rPr>
          <w:rFonts w:ascii="Arial" w:hAnsi="Arial" w:cs="Arial"/>
          <w:sz w:val="24"/>
          <w:szCs w:val="24"/>
        </w:rPr>
      </w:pPr>
    </w:p>
    <w:p w:rsidR="003D2B61" w:rsidRDefault="003D2B61" w:rsidP="003D2B61">
      <w:pPr>
        <w:pStyle w:val="Sinespaciado"/>
        <w:jc w:val="both"/>
        <w:rPr>
          <w:rFonts w:ascii="Arial" w:hAnsi="Arial" w:cs="Arial"/>
          <w:sz w:val="24"/>
          <w:szCs w:val="24"/>
        </w:rPr>
      </w:pPr>
    </w:p>
    <w:p w:rsidR="003D2B61" w:rsidRDefault="003D2B61" w:rsidP="003D2B61">
      <w:pPr>
        <w:pStyle w:val="Sinespaciado"/>
        <w:jc w:val="both"/>
        <w:rPr>
          <w:rFonts w:ascii="Arial" w:hAnsi="Arial" w:cs="Arial"/>
          <w:sz w:val="24"/>
          <w:szCs w:val="24"/>
        </w:rPr>
      </w:pPr>
    </w:p>
    <w:p w:rsidR="003D2B61" w:rsidRDefault="003D2B61" w:rsidP="003D2B61">
      <w:pPr>
        <w:pStyle w:val="Sinespaciado"/>
        <w:jc w:val="both"/>
        <w:rPr>
          <w:rFonts w:ascii="Arial" w:hAnsi="Arial" w:cs="Arial"/>
          <w:sz w:val="24"/>
          <w:szCs w:val="24"/>
        </w:rPr>
      </w:pPr>
    </w:p>
    <w:p w:rsidR="00497CBF" w:rsidRDefault="003D2B61" w:rsidP="003D2B61">
      <w:pPr>
        <w:pStyle w:val="Sinespaciado"/>
        <w:jc w:val="both"/>
        <w:rPr>
          <w:rFonts w:ascii="Arial" w:hAnsi="Arial" w:cs="Arial"/>
          <w:b/>
        </w:rPr>
      </w:pPr>
      <w:r w:rsidRPr="00313B76">
        <w:rPr>
          <w:rFonts w:ascii="Arial" w:hAnsi="Arial" w:cs="Arial"/>
          <w:b/>
        </w:rPr>
        <w:t>M</w:t>
      </w:r>
      <w:r w:rsidR="00497CBF">
        <w:rPr>
          <w:rFonts w:ascii="Arial" w:hAnsi="Arial" w:cs="Arial"/>
          <w:b/>
        </w:rPr>
        <w:t>IGU</w:t>
      </w:r>
      <w:r w:rsidRPr="00313B76">
        <w:rPr>
          <w:rFonts w:ascii="Arial" w:hAnsi="Arial" w:cs="Arial"/>
          <w:b/>
        </w:rPr>
        <w:t>E</w:t>
      </w:r>
      <w:r w:rsidR="00497CBF">
        <w:rPr>
          <w:rFonts w:ascii="Arial" w:hAnsi="Arial" w:cs="Arial"/>
          <w:b/>
        </w:rPr>
        <w:t xml:space="preserve">L A. PINTO HERNANDEZ </w:t>
      </w:r>
      <w:r w:rsidRPr="00313B76">
        <w:rPr>
          <w:rFonts w:ascii="Arial" w:hAnsi="Arial" w:cs="Arial"/>
          <w:b/>
        </w:rPr>
        <w:tab/>
      </w:r>
      <w:r w:rsidR="00497CBF">
        <w:rPr>
          <w:rFonts w:ascii="Arial" w:hAnsi="Arial" w:cs="Arial"/>
          <w:b/>
        </w:rPr>
        <w:tab/>
        <w:t>ALBEIRO VANEGAS OSORIO</w:t>
      </w:r>
    </w:p>
    <w:p w:rsidR="003D2B61" w:rsidRPr="00313B76" w:rsidRDefault="00497CBF" w:rsidP="003D2B61">
      <w:pPr>
        <w:pStyle w:val="Sinespaciado"/>
        <w:jc w:val="both"/>
        <w:rPr>
          <w:rFonts w:ascii="Arial" w:hAnsi="Arial" w:cs="Arial"/>
        </w:rPr>
      </w:pPr>
      <w:r>
        <w:rPr>
          <w:rFonts w:ascii="Arial" w:hAnsi="Arial" w:cs="Arial"/>
        </w:rPr>
        <w:t>Ponente Coordinador</w:t>
      </w:r>
      <w:r>
        <w:rPr>
          <w:rFonts w:ascii="Arial" w:hAnsi="Arial" w:cs="Arial"/>
        </w:rPr>
        <w:tab/>
      </w:r>
      <w:r>
        <w:rPr>
          <w:rFonts w:ascii="Arial" w:hAnsi="Arial" w:cs="Arial"/>
        </w:rPr>
        <w:tab/>
      </w:r>
      <w:r>
        <w:rPr>
          <w:rFonts w:ascii="Arial" w:hAnsi="Arial" w:cs="Arial"/>
        </w:rPr>
        <w:tab/>
      </w:r>
      <w:r>
        <w:rPr>
          <w:rFonts w:ascii="Arial" w:hAnsi="Arial" w:cs="Arial"/>
        </w:rPr>
        <w:tab/>
        <w:t>Ponente Coordinador</w:t>
      </w:r>
    </w:p>
    <w:p w:rsidR="003D2B61" w:rsidRDefault="003D2B61" w:rsidP="00CC16A8">
      <w:pPr>
        <w:pStyle w:val="Sinespaciado"/>
        <w:spacing w:line="276" w:lineRule="auto"/>
        <w:rPr>
          <w:rFonts w:ascii="Arial" w:hAnsi="Arial" w:cs="Arial"/>
          <w:sz w:val="24"/>
          <w:szCs w:val="24"/>
          <w:lang w:val="es-CO"/>
        </w:rPr>
      </w:pPr>
    </w:p>
    <w:p w:rsidR="00497CBF" w:rsidRDefault="00497CBF" w:rsidP="00CC16A8">
      <w:pPr>
        <w:pStyle w:val="Sinespaciado"/>
        <w:spacing w:line="276" w:lineRule="auto"/>
        <w:rPr>
          <w:rFonts w:ascii="Arial" w:hAnsi="Arial" w:cs="Arial"/>
          <w:sz w:val="24"/>
          <w:szCs w:val="24"/>
          <w:lang w:val="es-CO"/>
        </w:rPr>
      </w:pPr>
    </w:p>
    <w:p w:rsidR="00497CBF" w:rsidRDefault="00497CBF" w:rsidP="00CC16A8">
      <w:pPr>
        <w:pStyle w:val="Sinespaciado"/>
        <w:spacing w:line="276" w:lineRule="auto"/>
        <w:rPr>
          <w:rFonts w:ascii="Arial" w:hAnsi="Arial" w:cs="Arial"/>
          <w:sz w:val="24"/>
          <w:szCs w:val="24"/>
          <w:lang w:val="es-CO"/>
        </w:rPr>
      </w:pPr>
    </w:p>
    <w:p w:rsidR="00497CBF" w:rsidRDefault="00497CBF" w:rsidP="00CC16A8">
      <w:pPr>
        <w:pStyle w:val="Sinespaciado"/>
        <w:spacing w:line="276" w:lineRule="auto"/>
        <w:rPr>
          <w:rFonts w:ascii="Arial" w:hAnsi="Arial" w:cs="Arial"/>
          <w:sz w:val="24"/>
          <w:szCs w:val="24"/>
          <w:lang w:val="es-CO"/>
        </w:rPr>
      </w:pPr>
    </w:p>
    <w:p w:rsidR="00497CBF" w:rsidRDefault="00497CBF" w:rsidP="00CC16A8">
      <w:pPr>
        <w:pStyle w:val="Sinespaciado"/>
        <w:spacing w:line="276" w:lineRule="auto"/>
        <w:rPr>
          <w:rFonts w:ascii="Arial" w:hAnsi="Arial" w:cs="Arial"/>
          <w:sz w:val="24"/>
          <w:szCs w:val="24"/>
          <w:lang w:val="es-CO"/>
        </w:rPr>
      </w:pPr>
    </w:p>
    <w:p w:rsidR="00FC0B05" w:rsidRDefault="00497CBF" w:rsidP="00497CBF">
      <w:pPr>
        <w:pStyle w:val="Sinespaciado"/>
        <w:jc w:val="both"/>
        <w:rPr>
          <w:rFonts w:ascii="Arial" w:hAnsi="Arial" w:cs="Arial"/>
          <w:b/>
        </w:rPr>
      </w:pPr>
      <w:r w:rsidRPr="00313B76">
        <w:rPr>
          <w:rFonts w:ascii="Arial" w:hAnsi="Arial" w:cs="Arial"/>
          <w:b/>
        </w:rPr>
        <w:t>R</w:t>
      </w:r>
      <w:r>
        <w:rPr>
          <w:rFonts w:ascii="Arial" w:hAnsi="Arial" w:cs="Arial"/>
          <w:b/>
        </w:rPr>
        <w:t>ODRIGO LARA RESTREPO</w:t>
      </w:r>
      <w:r>
        <w:rPr>
          <w:rFonts w:ascii="Arial" w:hAnsi="Arial" w:cs="Arial"/>
          <w:b/>
        </w:rPr>
        <w:tab/>
      </w:r>
      <w:r>
        <w:rPr>
          <w:rFonts w:ascii="Arial" w:hAnsi="Arial" w:cs="Arial"/>
          <w:b/>
        </w:rPr>
        <w:tab/>
      </w:r>
      <w:r w:rsidR="00FC0B05">
        <w:rPr>
          <w:rFonts w:ascii="Arial" w:hAnsi="Arial" w:cs="Arial"/>
          <w:b/>
        </w:rPr>
        <w:t>JAIME BUENAHORA FEBRES</w:t>
      </w:r>
    </w:p>
    <w:p w:rsidR="00FC0B05" w:rsidRDefault="00FC0B05" w:rsidP="00497CBF">
      <w:pPr>
        <w:pStyle w:val="Sinespaciado"/>
        <w:jc w:val="both"/>
        <w:rPr>
          <w:rFonts w:ascii="Arial" w:hAnsi="Arial" w:cs="Arial"/>
        </w:rPr>
      </w:pPr>
      <w:r w:rsidRPr="00FC0B05">
        <w:rPr>
          <w:rFonts w:ascii="Arial" w:hAnsi="Arial" w:cs="Arial"/>
        </w:rPr>
        <w:t>Ponente</w:t>
      </w:r>
      <w:r w:rsidR="006F5FDE">
        <w:rPr>
          <w:rFonts w:ascii="Arial" w:hAnsi="Arial" w:cs="Arial"/>
        </w:rPr>
        <w:t xml:space="preserve"> Coordinador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Presidente</w:t>
      </w:r>
    </w:p>
    <w:p w:rsidR="00FC0B05" w:rsidRDefault="00FC0B05" w:rsidP="00497CBF">
      <w:pPr>
        <w:pStyle w:val="Sinespaciado"/>
        <w:jc w:val="both"/>
        <w:rPr>
          <w:rFonts w:ascii="Arial" w:hAnsi="Arial" w:cs="Arial"/>
        </w:rPr>
      </w:pPr>
    </w:p>
    <w:p w:rsidR="00FC0B05" w:rsidRDefault="00FC0B05" w:rsidP="00497CBF">
      <w:pPr>
        <w:pStyle w:val="Sinespaciado"/>
        <w:jc w:val="both"/>
        <w:rPr>
          <w:rFonts w:ascii="Arial" w:hAnsi="Arial" w:cs="Arial"/>
        </w:rPr>
      </w:pPr>
    </w:p>
    <w:p w:rsidR="00FC0B05" w:rsidRDefault="00FC0B05" w:rsidP="00497CBF">
      <w:pPr>
        <w:pStyle w:val="Sinespaciado"/>
        <w:jc w:val="both"/>
        <w:rPr>
          <w:rFonts w:ascii="Arial" w:hAnsi="Arial" w:cs="Arial"/>
        </w:rPr>
      </w:pPr>
    </w:p>
    <w:p w:rsidR="00FC0B05" w:rsidRPr="00FC0B05" w:rsidRDefault="00FC0B05" w:rsidP="00497CBF">
      <w:pPr>
        <w:pStyle w:val="Sinespaciado"/>
        <w:jc w:val="both"/>
        <w:rPr>
          <w:rFonts w:ascii="Arial" w:hAnsi="Arial" w:cs="Arial"/>
        </w:rPr>
      </w:pPr>
    </w:p>
    <w:p w:rsidR="00FC0B05" w:rsidRDefault="00FC0B05" w:rsidP="00497CBF">
      <w:pPr>
        <w:pStyle w:val="Sinespaciado"/>
        <w:jc w:val="both"/>
        <w:rPr>
          <w:rFonts w:ascii="Arial" w:hAnsi="Arial" w:cs="Arial"/>
          <w:b/>
        </w:rPr>
      </w:pPr>
    </w:p>
    <w:p w:rsidR="00FC0B05" w:rsidRDefault="00FC0B05" w:rsidP="00FC0B05">
      <w:pPr>
        <w:pStyle w:val="Sinespaciado"/>
        <w:ind w:left="1416" w:firstLine="708"/>
        <w:jc w:val="both"/>
        <w:rPr>
          <w:rFonts w:ascii="Arial" w:hAnsi="Arial" w:cs="Arial"/>
          <w:b/>
        </w:rPr>
      </w:pPr>
      <w:r w:rsidRPr="00313B76">
        <w:rPr>
          <w:rFonts w:ascii="Arial" w:hAnsi="Arial" w:cs="Arial"/>
          <w:b/>
        </w:rPr>
        <w:t>AMP</w:t>
      </w:r>
      <w:r>
        <w:rPr>
          <w:rFonts w:ascii="Arial" w:hAnsi="Arial" w:cs="Arial"/>
          <w:b/>
        </w:rPr>
        <w:t>A</w:t>
      </w:r>
      <w:r w:rsidRPr="00313B76">
        <w:rPr>
          <w:rFonts w:ascii="Arial" w:hAnsi="Arial" w:cs="Arial"/>
          <w:b/>
        </w:rPr>
        <w:t>RO YANETH CALDERON PERDOMO</w:t>
      </w:r>
    </w:p>
    <w:p w:rsidR="00FC0B05" w:rsidRPr="00313B76" w:rsidRDefault="00FC0B05" w:rsidP="00FC0B05">
      <w:pPr>
        <w:pStyle w:val="Sinespaciado"/>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Secretaria Comisión Primera Constitucional</w:t>
      </w:r>
    </w:p>
    <w:p w:rsidR="00FC0B05" w:rsidRDefault="00FC0B05" w:rsidP="00497CBF">
      <w:pPr>
        <w:pStyle w:val="Sinespaciado"/>
        <w:jc w:val="both"/>
        <w:rPr>
          <w:rFonts w:ascii="Arial" w:hAnsi="Arial" w:cs="Arial"/>
          <w:b/>
        </w:rPr>
      </w:pPr>
    </w:p>
    <w:p w:rsidR="00FC0B05" w:rsidRDefault="00FC0B05" w:rsidP="00497CBF">
      <w:pPr>
        <w:pStyle w:val="Sinespaciado"/>
        <w:jc w:val="both"/>
        <w:rPr>
          <w:rFonts w:ascii="Arial" w:hAnsi="Arial" w:cs="Arial"/>
          <w:b/>
        </w:rPr>
      </w:pPr>
    </w:p>
    <w:p w:rsidR="00FC0B05" w:rsidRDefault="00FC0B05" w:rsidP="00497CBF">
      <w:pPr>
        <w:pStyle w:val="Sinespaciado"/>
        <w:jc w:val="both"/>
        <w:rPr>
          <w:rFonts w:ascii="Arial" w:hAnsi="Arial" w:cs="Arial"/>
          <w:b/>
        </w:rPr>
      </w:pPr>
    </w:p>
    <w:p w:rsidR="00FC0B05" w:rsidRDefault="00FC0B05" w:rsidP="00497CBF">
      <w:pPr>
        <w:pStyle w:val="Sinespaciado"/>
        <w:jc w:val="both"/>
        <w:rPr>
          <w:rFonts w:ascii="Arial" w:hAnsi="Arial" w:cs="Arial"/>
          <w:b/>
        </w:rPr>
      </w:pPr>
    </w:p>
    <w:p w:rsidR="00FC0B05" w:rsidRDefault="00FC0B05" w:rsidP="00497CBF">
      <w:pPr>
        <w:pStyle w:val="Sinespaciado"/>
        <w:jc w:val="both"/>
        <w:rPr>
          <w:rFonts w:ascii="Arial" w:hAnsi="Arial" w:cs="Arial"/>
          <w:b/>
        </w:rPr>
      </w:pPr>
    </w:p>
    <w:p w:rsidR="00FC0B05" w:rsidRDefault="00FC0B05" w:rsidP="00497CBF">
      <w:pPr>
        <w:pStyle w:val="Sinespaciado"/>
        <w:jc w:val="both"/>
        <w:rPr>
          <w:rFonts w:ascii="Arial" w:hAnsi="Arial" w:cs="Arial"/>
          <w:b/>
        </w:rPr>
      </w:pPr>
      <w:bookmarkStart w:id="2" w:name="_GoBack"/>
      <w:bookmarkEnd w:id="2"/>
    </w:p>
    <w:p w:rsidR="00FC0B05" w:rsidRDefault="00FC0B05" w:rsidP="00497CBF">
      <w:pPr>
        <w:pStyle w:val="Sinespaciado"/>
        <w:jc w:val="both"/>
        <w:rPr>
          <w:rFonts w:ascii="Arial" w:hAnsi="Arial" w:cs="Arial"/>
          <w:b/>
        </w:rPr>
      </w:pPr>
    </w:p>
    <w:p w:rsidR="00FC0B05" w:rsidRDefault="00FC0B05" w:rsidP="00497CBF">
      <w:pPr>
        <w:pStyle w:val="Sinespaciado"/>
        <w:jc w:val="both"/>
        <w:rPr>
          <w:rFonts w:ascii="Arial" w:hAnsi="Arial" w:cs="Arial"/>
          <w:b/>
        </w:rPr>
      </w:pPr>
    </w:p>
    <w:p w:rsidR="00FC0B05" w:rsidRDefault="00FC0B05" w:rsidP="00497CBF">
      <w:pPr>
        <w:pStyle w:val="Sinespaciado"/>
        <w:jc w:val="both"/>
        <w:rPr>
          <w:rFonts w:ascii="Arial" w:hAnsi="Arial" w:cs="Arial"/>
          <w:b/>
        </w:rPr>
      </w:pPr>
    </w:p>
    <w:p w:rsidR="00FC0B05" w:rsidRDefault="00FC0B05" w:rsidP="00497CBF">
      <w:pPr>
        <w:pStyle w:val="Sinespaciado"/>
        <w:jc w:val="both"/>
        <w:rPr>
          <w:rFonts w:ascii="Arial" w:hAnsi="Arial" w:cs="Arial"/>
          <w:b/>
        </w:rPr>
      </w:pPr>
    </w:p>
    <w:p w:rsidR="00FC0B05" w:rsidRDefault="00FC0B05" w:rsidP="00497CBF">
      <w:pPr>
        <w:pStyle w:val="Sinespaciado"/>
        <w:jc w:val="both"/>
        <w:rPr>
          <w:rFonts w:ascii="Arial" w:hAnsi="Arial" w:cs="Arial"/>
          <w:b/>
        </w:rPr>
      </w:pPr>
    </w:p>
    <w:p w:rsidR="00FC0B05" w:rsidRDefault="00FC0B05" w:rsidP="00497CBF">
      <w:pPr>
        <w:pStyle w:val="Sinespaciado"/>
        <w:jc w:val="both"/>
        <w:rPr>
          <w:rFonts w:ascii="Arial" w:hAnsi="Arial" w:cs="Arial"/>
          <w:b/>
        </w:rPr>
      </w:pPr>
    </w:p>
    <w:p w:rsidR="00FC0B05" w:rsidRDefault="00FC0B05" w:rsidP="00497CBF">
      <w:pPr>
        <w:pStyle w:val="Sinespaciado"/>
        <w:jc w:val="both"/>
        <w:rPr>
          <w:rFonts w:ascii="Arial" w:hAnsi="Arial" w:cs="Arial"/>
          <w:b/>
        </w:rPr>
      </w:pPr>
    </w:p>
    <w:p w:rsidR="00FC0B05" w:rsidRDefault="00FC0B05" w:rsidP="00497CBF">
      <w:pPr>
        <w:pStyle w:val="Sinespaciado"/>
        <w:jc w:val="both"/>
        <w:rPr>
          <w:rFonts w:ascii="Arial" w:hAnsi="Arial" w:cs="Arial"/>
          <w:b/>
        </w:rPr>
      </w:pPr>
    </w:p>
    <w:p w:rsidR="00FC0B05" w:rsidRDefault="00FC0B05" w:rsidP="00497CBF">
      <w:pPr>
        <w:pStyle w:val="Sinespaciado"/>
        <w:jc w:val="both"/>
        <w:rPr>
          <w:rFonts w:ascii="Arial" w:hAnsi="Arial" w:cs="Arial"/>
          <w:b/>
        </w:rPr>
      </w:pPr>
    </w:p>
    <w:sectPr w:rsidR="00FC0B05" w:rsidSect="00366911">
      <w:headerReference w:type="default" r:id="rId9"/>
      <w:footerReference w:type="default" r:id="rId10"/>
      <w:type w:val="continuous"/>
      <w:pgSz w:w="12240" w:h="15840"/>
      <w:pgMar w:top="1518" w:right="1418" w:bottom="1418" w:left="1418" w:header="426" w:footer="7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AE3" w:rsidRDefault="00AD5AE3" w:rsidP="00DD0EE8">
      <w:r>
        <w:separator/>
      </w:r>
    </w:p>
  </w:endnote>
  <w:endnote w:type="continuationSeparator" w:id="0">
    <w:p w:rsidR="00AD5AE3" w:rsidRDefault="00AD5AE3" w:rsidP="00DD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879412"/>
      <w:docPartObj>
        <w:docPartGallery w:val="Page Numbers (Bottom of Page)"/>
        <w:docPartUnique/>
      </w:docPartObj>
    </w:sdtPr>
    <w:sdtContent>
      <w:p w:rsidR="001431B1" w:rsidRDefault="002D38B7">
        <w:pPr>
          <w:pStyle w:val="Piedepgina"/>
        </w:pPr>
        <w:r>
          <w:fldChar w:fldCharType="begin"/>
        </w:r>
        <w:r w:rsidR="001431B1">
          <w:instrText>PAGE   \* MERGEFORMAT</w:instrText>
        </w:r>
        <w:r>
          <w:fldChar w:fldCharType="separate"/>
        </w:r>
        <w:r w:rsidR="00AD5AE3" w:rsidRPr="00AD5AE3">
          <w:rPr>
            <w:noProof/>
            <w:lang w:val="es-ES"/>
          </w:rPr>
          <w:t>1</w:t>
        </w:r>
        <w:r>
          <w:fldChar w:fldCharType="end"/>
        </w:r>
      </w:p>
    </w:sdtContent>
  </w:sdt>
  <w:p w:rsidR="00962764" w:rsidRDefault="00962764" w:rsidP="00E82D6C">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AE3" w:rsidRDefault="00AD5AE3" w:rsidP="00DD0EE8">
      <w:r>
        <w:separator/>
      </w:r>
    </w:p>
  </w:footnote>
  <w:footnote w:type="continuationSeparator" w:id="0">
    <w:p w:rsidR="00AD5AE3" w:rsidRDefault="00AD5AE3" w:rsidP="00DD0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764" w:rsidRDefault="00962764">
    <w:pPr>
      <w:pStyle w:val="Encabezado"/>
      <w:jc w:val="right"/>
    </w:pPr>
  </w:p>
  <w:p w:rsidR="00962764" w:rsidRDefault="00962764">
    <w:pPr>
      <w:pStyle w:val="Encabezado"/>
      <w:jc w:val="center"/>
    </w:pPr>
  </w:p>
  <w:p w:rsidR="00E82D6C" w:rsidRDefault="00E82D6C">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BAE"/>
    <w:multiLevelType w:val="hybridMultilevel"/>
    <w:tmpl w:val="8A7AD6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04173F3"/>
    <w:multiLevelType w:val="hybridMultilevel"/>
    <w:tmpl w:val="2788D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5343DA2"/>
    <w:multiLevelType w:val="hybridMultilevel"/>
    <w:tmpl w:val="16B0ACCC"/>
    <w:lvl w:ilvl="0" w:tplc="AEFEB5A2">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2FC060D"/>
    <w:multiLevelType w:val="hybridMultilevel"/>
    <w:tmpl w:val="6340042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873179C"/>
    <w:multiLevelType w:val="hybridMultilevel"/>
    <w:tmpl w:val="ECE22B5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1633018"/>
    <w:multiLevelType w:val="hybridMultilevel"/>
    <w:tmpl w:val="A1B4E622"/>
    <w:lvl w:ilvl="0" w:tplc="240A0001">
      <w:start w:val="1"/>
      <w:numFmt w:val="bullet"/>
      <w:lvlText w:val=""/>
      <w:lvlJc w:val="left"/>
      <w:pPr>
        <w:ind w:left="720" w:hanging="360"/>
      </w:pPr>
      <w:rPr>
        <w:rFonts w:ascii="Symbol" w:hAnsi="Symbo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EBB2BD3"/>
    <w:multiLevelType w:val="hybridMultilevel"/>
    <w:tmpl w:val="DEEE10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ECE6E23"/>
    <w:multiLevelType w:val="hybridMultilevel"/>
    <w:tmpl w:val="0B90EF6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27933CA"/>
    <w:multiLevelType w:val="hybridMultilevel"/>
    <w:tmpl w:val="CB8E8A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FE229B4"/>
    <w:multiLevelType w:val="hybridMultilevel"/>
    <w:tmpl w:val="485419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37D6D7B"/>
    <w:multiLevelType w:val="hybridMultilevel"/>
    <w:tmpl w:val="3F8E800E"/>
    <w:lvl w:ilvl="0" w:tplc="240A000F">
      <w:start w:val="1"/>
      <w:numFmt w:val="decimal"/>
      <w:lvlText w:val="%1."/>
      <w:lvlJc w:val="left"/>
      <w:pPr>
        <w:ind w:left="765" w:hanging="360"/>
      </w:p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num w:numId="1">
    <w:abstractNumId w:val="1"/>
  </w:num>
  <w:num w:numId="2">
    <w:abstractNumId w:val="0"/>
  </w:num>
  <w:num w:numId="3">
    <w:abstractNumId w:val="6"/>
  </w:num>
  <w:num w:numId="4">
    <w:abstractNumId w:val="9"/>
  </w:num>
  <w:num w:numId="5">
    <w:abstractNumId w:val="8"/>
  </w:num>
  <w:num w:numId="6">
    <w:abstractNumId w:val="3"/>
  </w:num>
  <w:num w:numId="7">
    <w:abstractNumId w:val="10"/>
  </w:num>
  <w:num w:numId="8">
    <w:abstractNumId w:val="7"/>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E8"/>
    <w:rsid w:val="00061247"/>
    <w:rsid w:val="000E25FA"/>
    <w:rsid w:val="00142AE8"/>
    <w:rsid w:val="001431B1"/>
    <w:rsid w:val="00167B93"/>
    <w:rsid w:val="00190629"/>
    <w:rsid w:val="002D38B7"/>
    <w:rsid w:val="00366911"/>
    <w:rsid w:val="003D2B61"/>
    <w:rsid w:val="00497CBF"/>
    <w:rsid w:val="004D6B74"/>
    <w:rsid w:val="005F423E"/>
    <w:rsid w:val="00617B76"/>
    <w:rsid w:val="00674A57"/>
    <w:rsid w:val="006D77E3"/>
    <w:rsid w:val="006F5FDE"/>
    <w:rsid w:val="00702733"/>
    <w:rsid w:val="007070B5"/>
    <w:rsid w:val="007934EB"/>
    <w:rsid w:val="007D5ED2"/>
    <w:rsid w:val="00801D06"/>
    <w:rsid w:val="008D0C52"/>
    <w:rsid w:val="008D512F"/>
    <w:rsid w:val="008E5A26"/>
    <w:rsid w:val="00952598"/>
    <w:rsid w:val="00962764"/>
    <w:rsid w:val="009A4721"/>
    <w:rsid w:val="009B6286"/>
    <w:rsid w:val="00A0229D"/>
    <w:rsid w:val="00AD5AE3"/>
    <w:rsid w:val="00AF096E"/>
    <w:rsid w:val="00B06945"/>
    <w:rsid w:val="00B80236"/>
    <w:rsid w:val="00BC2E90"/>
    <w:rsid w:val="00BD2D94"/>
    <w:rsid w:val="00C82731"/>
    <w:rsid w:val="00CC16A8"/>
    <w:rsid w:val="00D965A9"/>
    <w:rsid w:val="00DD0EE8"/>
    <w:rsid w:val="00DE0FB6"/>
    <w:rsid w:val="00E04AB1"/>
    <w:rsid w:val="00E556D9"/>
    <w:rsid w:val="00E65836"/>
    <w:rsid w:val="00E80479"/>
    <w:rsid w:val="00E82D6C"/>
    <w:rsid w:val="00E846B0"/>
    <w:rsid w:val="00EB1BD4"/>
    <w:rsid w:val="00F12CD4"/>
    <w:rsid w:val="00F87E2C"/>
    <w:rsid w:val="00F900F5"/>
    <w:rsid w:val="00FC0B05"/>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0EE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1">
    <w:name w:val="heading 1"/>
    <w:basedOn w:val="Normal"/>
    <w:next w:val="Normal"/>
    <w:link w:val="Ttulo1Car"/>
    <w:uiPriority w:val="9"/>
    <w:qFormat/>
    <w:rsid w:val="004D6B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rsid w:val="00DD0EE8"/>
    <w:pPr>
      <w:pBdr>
        <w:top w:val="nil"/>
        <w:left w:val="nil"/>
        <w:bottom w:val="nil"/>
        <w:right w:val="nil"/>
        <w:between w:val="nil"/>
        <w:bar w:val="nil"/>
      </w:pBdr>
      <w:tabs>
        <w:tab w:val="center" w:pos="4252"/>
        <w:tab w:val="right" w:pos="8504"/>
      </w:tabs>
      <w:spacing w:after="0" w:line="240" w:lineRule="auto"/>
    </w:pPr>
    <w:rPr>
      <w:rFonts w:ascii="Times New Roman" w:eastAsia="Arial Unicode MS" w:hAnsi="Arial Unicode MS" w:cs="Arial Unicode MS"/>
      <w:color w:val="000000"/>
      <w:sz w:val="24"/>
      <w:szCs w:val="24"/>
      <w:u w:color="000000"/>
      <w:bdr w:val="nil"/>
      <w:lang w:val="es-ES_tradnl" w:eastAsia="es-CO"/>
    </w:rPr>
  </w:style>
  <w:style w:type="character" w:customStyle="1" w:styleId="EncabezadoCar">
    <w:name w:val="Encabezado Car"/>
    <w:basedOn w:val="Fuentedeprrafopredeter"/>
    <w:link w:val="Encabezado"/>
    <w:rsid w:val="00DD0EE8"/>
    <w:rPr>
      <w:rFonts w:ascii="Times New Roman" w:eastAsia="Arial Unicode MS" w:hAnsi="Arial Unicode MS" w:cs="Arial Unicode MS"/>
      <w:color w:val="000000"/>
      <w:sz w:val="24"/>
      <w:szCs w:val="24"/>
      <w:u w:color="000000"/>
      <w:bdr w:val="nil"/>
      <w:lang w:val="es-ES_tradnl" w:eastAsia="es-CO"/>
    </w:rPr>
  </w:style>
  <w:style w:type="paragraph" w:styleId="Piedepgina">
    <w:name w:val="footer"/>
    <w:link w:val="PiedepginaCar"/>
    <w:uiPriority w:val="99"/>
    <w:rsid w:val="00DD0EE8"/>
    <w:pPr>
      <w:pBdr>
        <w:top w:val="nil"/>
        <w:left w:val="nil"/>
        <w:bottom w:val="nil"/>
        <w:right w:val="nil"/>
        <w:between w:val="nil"/>
        <w:bar w:val="nil"/>
      </w:pBdr>
      <w:tabs>
        <w:tab w:val="center" w:pos="4419"/>
        <w:tab w:val="right" w:pos="8838"/>
      </w:tabs>
      <w:spacing w:after="0" w:line="240" w:lineRule="auto"/>
    </w:pPr>
    <w:rPr>
      <w:rFonts w:ascii="Times New Roman" w:eastAsia="Times New Roman" w:hAnsi="Times New Roman" w:cs="Times New Roman"/>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D0EE8"/>
    <w:rPr>
      <w:rFonts w:ascii="Times New Roman" w:eastAsia="Times New Roman" w:hAnsi="Times New Roman" w:cs="Times New Roman"/>
      <w:color w:val="000000"/>
      <w:sz w:val="24"/>
      <w:szCs w:val="24"/>
      <w:u w:color="000000"/>
      <w:bdr w:val="nil"/>
      <w:lang w:val="es-ES_tradnl" w:eastAsia="es-CO"/>
    </w:rPr>
  </w:style>
  <w:style w:type="paragraph" w:customStyle="1" w:styleId="Cuerpo">
    <w:name w:val="Cuerpo"/>
    <w:rsid w:val="00DD0EE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link w:val="SinespaciadoCar"/>
    <w:uiPriority w:val="1"/>
    <w:qFormat/>
    <w:rsid w:val="00DD0EE8"/>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character" w:customStyle="1" w:styleId="SinespaciadoCar">
    <w:name w:val="Sin espaciado Car"/>
    <w:link w:val="Sinespaciado"/>
    <w:uiPriority w:val="1"/>
    <w:locked/>
    <w:rsid w:val="00DD0EE8"/>
    <w:rPr>
      <w:rFonts w:ascii="Calibri" w:eastAsia="Calibri" w:hAnsi="Calibri" w:cs="Calibri"/>
      <w:color w:val="000000"/>
      <w:u w:color="000000"/>
      <w:bdr w:val="nil"/>
      <w:lang w:val="es-ES_tradnl" w:eastAsia="es-CO"/>
    </w:rPr>
  </w:style>
  <w:style w:type="table" w:styleId="Tablaconcuadrcula">
    <w:name w:val="Table Grid"/>
    <w:basedOn w:val="Tablanormal"/>
    <w:uiPriority w:val="59"/>
    <w:rsid w:val="00DD0EE8"/>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D0EE8"/>
    <w:pPr>
      <w:ind w:left="720"/>
      <w:contextualSpacing/>
    </w:pPr>
  </w:style>
  <w:style w:type="character" w:customStyle="1" w:styleId="apple-converted-space">
    <w:name w:val="apple-converted-space"/>
    <w:basedOn w:val="Fuentedeprrafopredeter"/>
    <w:rsid w:val="00DD0EE8"/>
  </w:style>
  <w:style w:type="character" w:styleId="Hipervnculo">
    <w:name w:val="Hyperlink"/>
    <w:basedOn w:val="Fuentedeprrafopredeter"/>
    <w:uiPriority w:val="99"/>
    <w:unhideWhenUsed/>
    <w:rsid w:val="00DD0EE8"/>
    <w:rPr>
      <w:color w:val="0000FF"/>
      <w:u w:val="single"/>
    </w:rPr>
  </w:style>
  <w:style w:type="paragraph" w:styleId="Textonotapie">
    <w:name w:val="footnote text"/>
    <w:basedOn w:val="Normal"/>
    <w:link w:val="TextonotapieCar"/>
    <w:uiPriority w:val="99"/>
    <w:semiHidden/>
    <w:unhideWhenUsed/>
    <w:rsid w:val="00DD0EE8"/>
    <w:rPr>
      <w:sz w:val="20"/>
      <w:szCs w:val="20"/>
    </w:rPr>
  </w:style>
  <w:style w:type="character" w:customStyle="1" w:styleId="TextonotapieCar">
    <w:name w:val="Texto nota pie Car"/>
    <w:basedOn w:val="Fuentedeprrafopredeter"/>
    <w:link w:val="Textonotapie"/>
    <w:uiPriority w:val="99"/>
    <w:semiHidden/>
    <w:rsid w:val="00DD0EE8"/>
    <w:rPr>
      <w:rFonts w:ascii="Times New Roman" w:eastAsia="Arial Unicode MS" w:hAnsi="Times New Roman" w:cs="Times New Roman"/>
      <w:sz w:val="20"/>
      <w:szCs w:val="20"/>
      <w:bdr w:val="nil"/>
      <w:lang w:val="en-US"/>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w:basedOn w:val="Fuentedeprrafopredeter"/>
    <w:uiPriority w:val="99"/>
    <w:unhideWhenUsed/>
    <w:rsid w:val="00DD0EE8"/>
    <w:rPr>
      <w:vertAlign w:val="superscript"/>
    </w:rPr>
  </w:style>
  <w:style w:type="paragraph" w:styleId="Textodeglobo">
    <w:name w:val="Balloon Text"/>
    <w:basedOn w:val="Normal"/>
    <w:link w:val="TextodegloboCar"/>
    <w:uiPriority w:val="99"/>
    <w:semiHidden/>
    <w:unhideWhenUsed/>
    <w:rsid w:val="00DD0EE8"/>
    <w:rPr>
      <w:rFonts w:ascii="Tahoma" w:hAnsi="Tahoma" w:cs="Tahoma"/>
      <w:sz w:val="16"/>
      <w:szCs w:val="16"/>
    </w:rPr>
  </w:style>
  <w:style w:type="character" w:customStyle="1" w:styleId="TextodegloboCar">
    <w:name w:val="Texto de globo Car"/>
    <w:basedOn w:val="Fuentedeprrafopredeter"/>
    <w:link w:val="Textodeglobo"/>
    <w:uiPriority w:val="99"/>
    <w:semiHidden/>
    <w:rsid w:val="00DD0EE8"/>
    <w:rPr>
      <w:rFonts w:ascii="Tahoma" w:eastAsia="Arial Unicode MS" w:hAnsi="Tahoma" w:cs="Tahoma"/>
      <w:sz w:val="16"/>
      <w:szCs w:val="16"/>
      <w:bdr w:val="nil"/>
      <w:lang w:val="en-US"/>
    </w:rPr>
  </w:style>
  <w:style w:type="character" w:customStyle="1" w:styleId="Ttulo1Car">
    <w:name w:val="Título 1 Car"/>
    <w:basedOn w:val="Fuentedeprrafopredeter"/>
    <w:link w:val="Ttulo1"/>
    <w:uiPriority w:val="9"/>
    <w:rsid w:val="004D6B74"/>
    <w:rPr>
      <w:rFonts w:asciiTheme="majorHAnsi" w:eastAsiaTheme="majorEastAsia" w:hAnsiTheme="majorHAnsi" w:cstheme="majorBidi"/>
      <w:b/>
      <w:bCs/>
      <w:color w:val="365F91" w:themeColor="accent1" w:themeShade="BF"/>
      <w:sz w:val="28"/>
      <w:szCs w:val="28"/>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0EE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1">
    <w:name w:val="heading 1"/>
    <w:basedOn w:val="Normal"/>
    <w:next w:val="Normal"/>
    <w:link w:val="Ttulo1Car"/>
    <w:uiPriority w:val="9"/>
    <w:qFormat/>
    <w:rsid w:val="004D6B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rsid w:val="00DD0EE8"/>
    <w:pPr>
      <w:pBdr>
        <w:top w:val="nil"/>
        <w:left w:val="nil"/>
        <w:bottom w:val="nil"/>
        <w:right w:val="nil"/>
        <w:between w:val="nil"/>
        <w:bar w:val="nil"/>
      </w:pBdr>
      <w:tabs>
        <w:tab w:val="center" w:pos="4252"/>
        <w:tab w:val="right" w:pos="8504"/>
      </w:tabs>
      <w:spacing w:after="0" w:line="240" w:lineRule="auto"/>
    </w:pPr>
    <w:rPr>
      <w:rFonts w:ascii="Times New Roman" w:eastAsia="Arial Unicode MS" w:hAnsi="Arial Unicode MS" w:cs="Arial Unicode MS"/>
      <w:color w:val="000000"/>
      <w:sz w:val="24"/>
      <w:szCs w:val="24"/>
      <w:u w:color="000000"/>
      <w:bdr w:val="nil"/>
      <w:lang w:val="es-ES_tradnl" w:eastAsia="es-CO"/>
    </w:rPr>
  </w:style>
  <w:style w:type="character" w:customStyle="1" w:styleId="EncabezadoCar">
    <w:name w:val="Encabezado Car"/>
    <w:basedOn w:val="Fuentedeprrafopredeter"/>
    <w:link w:val="Encabezado"/>
    <w:rsid w:val="00DD0EE8"/>
    <w:rPr>
      <w:rFonts w:ascii="Times New Roman" w:eastAsia="Arial Unicode MS" w:hAnsi="Arial Unicode MS" w:cs="Arial Unicode MS"/>
      <w:color w:val="000000"/>
      <w:sz w:val="24"/>
      <w:szCs w:val="24"/>
      <w:u w:color="000000"/>
      <w:bdr w:val="nil"/>
      <w:lang w:val="es-ES_tradnl" w:eastAsia="es-CO"/>
    </w:rPr>
  </w:style>
  <w:style w:type="paragraph" w:styleId="Piedepgina">
    <w:name w:val="footer"/>
    <w:link w:val="PiedepginaCar"/>
    <w:uiPriority w:val="99"/>
    <w:rsid w:val="00DD0EE8"/>
    <w:pPr>
      <w:pBdr>
        <w:top w:val="nil"/>
        <w:left w:val="nil"/>
        <w:bottom w:val="nil"/>
        <w:right w:val="nil"/>
        <w:between w:val="nil"/>
        <w:bar w:val="nil"/>
      </w:pBdr>
      <w:tabs>
        <w:tab w:val="center" w:pos="4419"/>
        <w:tab w:val="right" w:pos="8838"/>
      </w:tabs>
      <w:spacing w:after="0" w:line="240" w:lineRule="auto"/>
    </w:pPr>
    <w:rPr>
      <w:rFonts w:ascii="Times New Roman" w:eastAsia="Times New Roman" w:hAnsi="Times New Roman" w:cs="Times New Roman"/>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D0EE8"/>
    <w:rPr>
      <w:rFonts w:ascii="Times New Roman" w:eastAsia="Times New Roman" w:hAnsi="Times New Roman" w:cs="Times New Roman"/>
      <w:color w:val="000000"/>
      <w:sz w:val="24"/>
      <w:szCs w:val="24"/>
      <w:u w:color="000000"/>
      <w:bdr w:val="nil"/>
      <w:lang w:val="es-ES_tradnl" w:eastAsia="es-CO"/>
    </w:rPr>
  </w:style>
  <w:style w:type="paragraph" w:customStyle="1" w:styleId="Cuerpo">
    <w:name w:val="Cuerpo"/>
    <w:rsid w:val="00DD0EE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link w:val="SinespaciadoCar"/>
    <w:uiPriority w:val="1"/>
    <w:qFormat/>
    <w:rsid w:val="00DD0EE8"/>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character" w:customStyle="1" w:styleId="SinespaciadoCar">
    <w:name w:val="Sin espaciado Car"/>
    <w:link w:val="Sinespaciado"/>
    <w:uiPriority w:val="1"/>
    <w:locked/>
    <w:rsid w:val="00DD0EE8"/>
    <w:rPr>
      <w:rFonts w:ascii="Calibri" w:eastAsia="Calibri" w:hAnsi="Calibri" w:cs="Calibri"/>
      <w:color w:val="000000"/>
      <w:u w:color="000000"/>
      <w:bdr w:val="nil"/>
      <w:lang w:val="es-ES_tradnl" w:eastAsia="es-CO"/>
    </w:rPr>
  </w:style>
  <w:style w:type="table" w:styleId="Tablaconcuadrcula">
    <w:name w:val="Table Grid"/>
    <w:basedOn w:val="Tablanormal"/>
    <w:uiPriority w:val="59"/>
    <w:rsid w:val="00DD0EE8"/>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D0EE8"/>
    <w:pPr>
      <w:ind w:left="720"/>
      <w:contextualSpacing/>
    </w:pPr>
  </w:style>
  <w:style w:type="character" w:customStyle="1" w:styleId="apple-converted-space">
    <w:name w:val="apple-converted-space"/>
    <w:basedOn w:val="Fuentedeprrafopredeter"/>
    <w:rsid w:val="00DD0EE8"/>
  </w:style>
  <w:style w:type="character" w:styleId="Hipervnculo">
    <w:name w:val="Hyperlink"/>
    <w:basedOn w:val="Fuentedeprrafopredeter"/>
    <w:uiPriority w:val="99"/>
    <w:unhideWhenUsed/>
    <w:rsid w:val="00DD0EE8"/>
    <w:rPr>
      <w:color w:val="0000FF"/>
      <w:u w:val="single"/>
    </w:rPr>
  </w:style>
  <w:style w:type="paragraph" w:styleId="Textonotapie">
    <w:name w:val="footnote text"/>
    <w:basedOn w:val="Normal"/>
    <w:link w:val="TextonotapieCar"/>
    <w:uiPriority w:val="99"/>
    <w:semiHidden/>
    <w:unhideWhenUsed/>
    <w:rsid w:val="00DD0EE8"/>
    <w:rPr>
      <w:sz w:val="20"/>
      <w:szCs w:val="20"/>
    </w:rPr>
  </w:style>
  <w:style w:type="character" w:customStyle="1" w:styleId="TextonotapieCar">
    <w:name w:val="Texto nota pie Car"/>
    <w:basedOn w:val="Fuentedeprrafopredeter"/>
    <w:link w:val="Textonotapie"/>
    <w:uiPriority w:val="99"/>
    <w:semiHidden/>
    <w:rsid w:val="00DD0EE8"/>
    <w:rPr>
      <w:rFonts w:ascii="Times New Roman" w:eastAsia="Arial Unicode MS" w:hAnsi="Times New Roman" w:cs="Times New Roman"/>
      <w:sz w:val="20"/>
      <w:szCs w:val="20"/>
      <w:bdr w:val="nil"/>
      <w:lang w:val="en-US"/>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w:basedOn w:val="Fuentedeprrafopredeter"/>
    <w:uiPriority w:val="99"/>
    <w:unhideWhenUsed/>
    <w:rsid w:val="00DD0EE8"/>
    <w:rPr>
      <w:vertAlign w:val="superscript"/>
    </w:rPr>
  </w:style>
  <w:style w:type="paragraph" w:styleId="Textodeglobo">
    <w:name w:val="Balloon Text"/>
    <w:basedOn w:val="Normal"/>
    <w:link w:val="TextodegloboCar"/>
    <w:uiPriority w:val="99"/>
    <w:semiHidden/>
    <w:unhideWhenUsed/>
    <w:rsid w:val="00DD0EE8"/>
    <w:rPr>
      <w:rFonts w:ascii="Tahoma" w:hAnsi="Tahoma" w:cs="Tahoma"/>
      <w:sz w:val="16"/>
      <w:szCs w:val="16"/>
    </w:rPr>
  </w:style>
  <w:style w:type="character" w:customStyle="1" w:styleId="TextodegloboCar">
    <w:name w:val="Texto de globo Car"/>
    <w:basedOn w:val="Fuentedeprrafopredeter"/>
    <w:link w:val="Textodeglobo"/>
    <w:uiPriority w:val="99"/>
    <w:semiHidden/>
    <w:rsid w:val="00DD0EE8"/>
    <w:rPr>
      <w:rFonts w:ascii="Tahoma" w:eastAsia="Arial Unicode MS" w:hAnsi="Tahoma" w:cs="Tahoma"/>
      <w:sz w:val="16"/>
      <w:szCs w:val="16"/>
      <w:bdr w:val="nil"/>
      <w:lang w:val="en-US"/>
    </w:rPr>
  </w:style>
  <w:style w:type="character" w:customStyle="1" w:styleId="Ttulo1Car">
    <w:name w:val="Título 1 Car"/>
    <w:basedOn w:val="Fuentedeprrafopredeter"/>
    <w:link w:val="Ttulo1"/>
    <w:uiPriority w:val="9"/>
    <w:rsid w:val="004D6B74"/>
    <w:rPr>
      <w:rFonts w:asciiTheme="majorHAnsi" w:eastAsiaTheme="majorEastAsia" w:hAnsiTheme="majorHAnsi" w:cstheme="majorBidi"/>
      <w:b/>
      <w:bCs/>
      <w:color w:val="365F91" w:themeColor="accent1" w:themeShade="BF"/>
      <w:sz w:val="28"/>
      <w:szCs w:val="2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0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48B1F-66A3-4F75-915B-B8A1DCCC9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Pages>
  <Words>1250</Words>
  <Characters>6876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1</cp:revision>
  <cp:lastPrinted>2014-12-03T20:37:00Z</cp:lastPrinted>
  <dcterms:created xsi:type="dcterms:W3CDTF">2014-10-30T19:01:00Z</dcterms:created>
  <dcterms:modified xsi:type="dcterms:W3CDTF">2014-12-04T18:06:00Z</dcterms:modified>
</cp:coreProperties>
</file>